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22F" w:rsidRDefault="00460428">
      <w:r>
        <w:t>Client Referral Policy</w:t>
      </w:r>
    </w:p>
    <w:p w:rsidR="00B66356" w:rsidRDefault="00B66356" w:rsidP="00B66356">
      <w:pPr>
        <w:rPr>
          <w:rFonts w:eastAsia="Times New Roman"/>
          <w:b/>
        </w:rPr>
      </w:pPr>
      <w:r w:rsidRPr="003E74FB">
        <w:rPr>
          <w:rFonts w:eastAsia="Times New Roman"/>
          <w:b/>
        </w:rPr>
        <w:t>Position Statement</w:t>
      </w:r>
    </w:p>
    <w:p w:rsidR="00640791" w:rsidRPr="006D5515" w:rsidRDefault="003E74FB" w:rsidP="00B66356">
      <w:pPr>
        <w:rPr>
          <w:rFonts w:eastAsia="Times New Roman"/>
        </w:rPr>
      </w:pPr>
      <w:r w:rsidRPr="006D5515">
        <w:rPr>
          <w:rFonts w:eastAsia="Times New Roman"/>
        </w:rPr>
        <w:t>The Provision of E</w:t>
      </w:r>
      <w:r w:rsidR="00FF3E30" w:rsidRPr="006D5515">
        <w:rPr>
          <w:rFonts w:eastAsia="Times New Roman"/>
        </w:rPr>
        <w:t>AP</w:t>
      </w:r>
      <w:r w:rsidRPr="006D5515">
        <w:rPr>
          <w:rFonts w:eastAsia="Times New Roman"/>
        </w:rPr>
        <w:t xml:space="preserve"> services </w:t>
      </w:r>
      <w:r w:rsidR="00285843">
        <w:rPr>
          <w:rFonts w:eastAsia="Times New Roman"/>
        </w:rPr>
        <w:t>has</w:t>
      </w:r>
      <w:r w:rsidR="007B483A">
        <w:rPr>
          <w:rFonts w:eastAsia="Times New Roman"/>
        </w:rPr>
        <w:t xml:space="preserve"> certain</w:t>
      </w:r>
      <w:r w:rsidR="00285843">
        <w:rPr>
          <w:rFonts w:eastAsia="Times New Roman"/>
        </w:rPr>
        <w:t xml:space="preserve"> professional</w:t>
      </w:r>
      <w:r w:rsidRPr="006D5515">
        <w:rPr>
          <w:rFonts w:eastAsia="Times New Roman"/>
        </w:rPr>
        <w:t xml:space="preserve"> practice and ethical </w:t>
      </w:r>
      <w:r w:rsidR="00FF3E30" w:rsidRPr="006D5515">
        <w:rPr>
          <w:rFonts w:eastAsia="Times New Roman"/>
        </w:rPr>
        <w:t>obligations</w:t>
      </w:r>
      <w:r w:rsidRPr="006D5515">
        <w:rPr>
          <w:rFonts w:eastAsia="Times New Roman"/>
        </w:rPr>
        <w:t xml:space="preserve"> </w:t>
      </w:r>
      <w:r w:rsidR="00285843" w:rsidRPr="006D5515">
        <w:rPr>
          <w:rFonts w:eastAsia="Times New Roman"/>
        </w:rPr>
        <w:t>regarding</w:t>
      </w:r>
      <w:r w:rsidRPr="006D5515">
        <w:rPr>
          <w:rFonts w:eastAsia="Times New Roman"/>
        </w:rPr>
        <w:t xml:space="preserve"> </w:t>
      </w:r>
      <w:r w:rsidR="00640791" w:rsidRPr="006D5515">
        <w:rPr>
          <w:rFonts w:eastAsia="Times New Roman"/>
        </w:rPr>
        <w:t>client</w:t>
      </w:r>
      <w:r w:rsidRPr="006D5515">
        <w:rPr>
          <w:rFonts w:eastAsia="Times New Roman"/>
        </w:rPr>
        <w:t xml:space="preserve"> management</w:t>
      </w:r>
      <w:r w:rsidR="00FF3E30" w:rsidRPr="006D5515">
        <w:rPr>
          <w:rFonts w:eastAsia="Times New Roman"/>
        </w:rPr>
        <w:t xml:space="preserve"> </w:t>
      </w:r>
      <w:r w:rsidR="007B483A">
        <w:rPr>
          <w:rFonts w:eastAsia="Times New Roman"/>
        </w:rPr>
        <w:t>due to</w:t>
      </w:r>
      <w:r w:rsidR="00FF3E30" w:rsidRPr="006D5515">
        <w:rPr>
          <w:rFonts w:eastAsia="Times New Roman"/>
        </w:rPr>
        <w:t xml:space="preserve"> the </w:t>
      </w:r>
      <w:r w:rsidR="00285843" w:rsidRPr="006D5515">
        <w:rPr>
          <w:rFonts w:eastAsia="Times New Roman"/>
        </w:rPr>
        <w:t>short-term</w:t>
      </w:r>
      <w:r w:rsidR="00FF3E30" w:rsidRPr="006D5515">
        <w:rPr>
          <w:rFonts w:eastAsia="Times New Roman"/>
        </w:rPr>
        <w:t xml:space="preserve"> nature of the</w:t>
      </w:r>
      <w:r w:rsidR="00B81245" w:rsidRPr="006D5515">
        <w:rPr>
          <w:rFonts w:eastAsia="Times New Roman"/>
        </w:rPr>
        <w:t xml:space="preserve"> </w:t>
      </w:r>
      <w:r w:rsidR="00640791" w:rsidRPr="006D5515">
        <w:rPr>
          <w:rFonts w:eastAsia="Times New Roman"/>
        </w:rPr>
        <w:t>C</w:t>
      </w:r>
      <w:r w:rsidRPr="006D5515">
        <w:rPr>
          <w:rFonts w:eastAsia="Times New Roman"/>
        </w:rPr>
        <w:t xml:space="preserve">ounselling and Consultancy </w:t>
      </w:r>
      <w:r w:rsidR="00FF3E30" w:rsidRPr="006D5515">
        <w:rPr>
          <w:rFonts w:eastAsia="Times New Roman"/>
        </w:rPr>
        <w:t>work and the</w:t>
      </w:r>
      <w:r w:rsidR="00640791" w:rsidRPr="006D5515">
        <w:rPr>
          <w:rFonts w:eastAsia="Times New Roman"/>
        </w:rPr>
        <w:t xml:space="preserve"> need for</w:t>
      </w:r>
      <w:r w:rsidR="00FF3E30" w:rsidRPr="006D5515">
        <w:rPr>
          <w:rFonts w:eastAsia="Times New Roman"/>
        </w:rPr>
        <w:t xml:space="preserve"> attendance to multi stakeholder</w:t>
      </w:r>
      <w:r w:rsidR="005A49DD" w:rsidRPr="006D5515">
        <w:rPr>
          <w:rFonts w:eastAsia="Times New Roman"/>
        </w:rPr>
        <w:t xml:space="preserve"> issues</w:t>
      </w:r>
      <w:r w:rsidR="00FF3E30" w:rsidRPr="006D5515">
        <w:rPr>
          <w:rFonts w:eastAsia="Times New Roman"/>
        </w:rPr>
        <w:t xml:space="preserve">. </w:t>
      </w:r>
      <w:r w:rsidR="00FC237F" w:rsidRPr="006D5515">
        <w:rPr>
          <w:rFonts w:eastAsia="Times New Roman"/>
        </w:rPr>
        <w:t>These</w:t>
      </w:r>
      <w:r w:rsidR="00FF3E30" w:rsidRPr="006D5515">
        <w:rPr>
          <w:rFonts w:eastAsia="Times New Roman"/>
        </w:rPr>
        <w:t xml:space="preserve"> responsibilities include </w:t>
      </w:r>
      <w:r w:rsidR="008105D7" w:rsidRPr="006D5515">
        <w:rPr>
          <w:rFonts w:eastAsia="Times New Roman"/>
        </w:rPr>
        <w:t xml:space="preserve">appropriate attention to </w:t>
      </w:r>
      <w:r w:rsidR="00FF3E30" w:rsidRPr="006D5515">
        <w:rPr>
          <w:rFonts w:eastAsia="Times New Roman"/>
        </w:rPr>
        <w:t>client referral</w:t>
      </w:r>
      <w:r w:rsidR="00C433D8" w:rsidRPr="006D5515">
        <w:rPr>
          <w:rFonts w:eastAsia="Times New Roman"/>
        </w:rPr>
        <w:t xml:space="preserve"> issues</w:t>
      </w:r>
      <w:r w:rsidR="008105D7" w:rsidRPr="006D5515">
        <w:rPr>
          <w:rFonts w:eastAsia="Times New Roman"/>
        </w:rPr>
        <w:t xml:space="preserve"> and practice</w:t>
      </w:r>
      <w:r w:rsidR="00C433D8" w:rsidRPr="006D5515">
        <w:rPr>
          <w:rFonts w:eastAsia="Times New Roman"/>
        </w:rPr>
        <w:t>.</w:t>
      </w:r>
    </w:p>
    <w:p w:rsidR="006D5515" w:rsidRDefault="006D5515" w:rsidP="006D5515">
      <w:pPr>
        <w:rPr>
          <w:rFonts w:eastAsia="Times New Roman"/>
          <w:b/>
        </w:rPr>
      </w:pPr>
      <w:r>
        <w:rPr>
          <w:rFonts w:eastAsia="Times New Roman"/>
          <w:b/>
        </w:rPr>
        <w:t>It is the position of CVI to</w:t>
      </w:r>
      <w:r w:rsidR="00D12740">
        <w:rPr>
          <w:rFonts w:eastAsia="Times New Roman"/>
          <w:b/>
        </w:rPr>
        <w:t xml:space="preserve"> effectively</w:t>
      </w:r>
      <w:r>
        <w:rPr>
          <w:rFonts w:eastAsia="Times New Roman"/>
          <w:b/>
        </w:rPr>
        <w:t xml:space="preserve"> partner with clients in accessing appropriate services</w:t>
      </w:r>
      <w:r w:rsidR="007F3257">
        <w:rPr>
          <w:rFonts w:eastAsia="Times New Roman"/>
          <w:b/>
        </w:rPr>
        <w:t xml:space="preserve"> beyond EAP</w:t>
      </w:r>
      <w:r>
        <w:rPr>
          <w:rFonts w:eastAsia="Times New Roman"/>
          <w:b/>
        </w:rPr>
        <w:t xml:space="preserve"> if it is believed by all concerned to be to </w:t>
      </w:r>
      <w:r w:rsidR="002D5CA9">
        <w:rPr>
          <w:rFonts w:eastAsia="Times New Roman"/>
          <w:b/>
        </w:rPr>
        <w:t>the client’s</w:t>
      </w:r>
      <w:r>
        <w:rPr>
          <w:rFonts w:eastAsia="Times New Roman"/>
          <w:b/>
        </w:rPr>
        <w:t xml:space="preserve"> advantage to do so.</w:t>
      </w:r>
      <w:r w:rsidR="00D12740">
        <w:rPr>
          <w:rFonts w:eastAsia="Times New Roman"/>
          <w:b/>
        </w:rPr>
        <w:t xml:space="preserve"> The client’s “right to decide” is the primary consideration in whether a referral option is accessed</w:t>
      </w:r>
      <w:r w:rsidR="00C039F7">
        <w:rPr>
          <w:rFonts w:eastAsia="Times New Roman"/>
          <w:b/>
        </w:rPr>
        <w:t xml:space="preserve"> or not</w:t>
      </w:r>
      <w:r w:rsidR="00D12740">
        <w:rPr>
          <w:rFonts w:eastAsia="Times New Roman"/>
          <w:b/>
        </w:rPr>
        <w:t>.</w:t>
      </w:r>
    </w:p>
    <w:p w:rsidR="00EC5A95" w:rsidRPr="006F3836" w:rsidRDefault="007641AC" w:rsidP="00777727">
      <w:pPr>
        <w:rPr>
          <w:b/>
        </w:rPr>
      </w:pPr>
      <w:r w:rsidRPr="006F3836">
        <w:rPr>
          <w:b/>
        </w:rPr>
        <w:t>Ethical considerations</w:t>
      </w:r>
    </w:p>
    <w:p w:rsidR="00714296" w:rsidRPr="00777727" w:rsidRDefault="00714296" w:rsidP="00777727">
      <w:r w:rsidRPr="00777727">
        <w:t>CVI expectations regarding the appropriate management of client referral are based on the following ethical guidelines developed by the APS and adopted by CVI.</w:t>
      </w:r>
    </w:p>
    <w:p w:rsidR="00714296" w:rsidRPr="00777727" w:rsidRDefault="0019544B" w:rsidP="00777727">
      <w:proofErr w:type="gramStart"/>
      <w:r>
        <w:t xml:space="preserve">Consultants </w:t>
      </w:r>
      <w:r w:rsidR="00714296" w:rsidRPr="00777727">
        <w:t xml:space="preserve"> are</w:t>
      </w:r>
      <w:proofErr w:type="gramEnd"/>
      <w:r w:rsidR="00714296" w:rsidRPr="00777727">
        <w:t xml:space="preserve"> to make “reasonable” arrangements for the continuity of service provision when they are no longer able to deliver services</w:t>
      </w:r>
      <w:r w:rsidR="00747E01">
        <w:t xml:space="preserve"> when;</w:t>
      </w:r>
    </w:p>
    <w:p w:rsidR="00714296" w:rsidRPr="00777727" w:rsidRDefault="00714296" w:rsidP="00714296">
      <w:pPr>
        <w:pStyle w:val="ListParagraph"/>
        <w:numPr>
          <w:ilvl w:val="0"/>
          <w:numId w:val="6"/>
        </w:numPr>
      </w:pPr>
      <w:r w:rsidRPr="00777727">
        <w:t>It is reasonably clear that the client is not benefiting from their services</w:t>
      </w:r>
    </w:p>
    <w:p w:rsidR="00714296" w:rsidRPr="00777727" w:rsidRDefault="00714296" w:rsidP="00714296">
      <w:pPr>
        <w:pStyle w:val="ListParagraph"/>
        <w:numPr>
          <w:ilvl w:val="0"/>
          <w:numId w:val="6"/>
        </w:numPr>
      </w:pPr>
      <w:r w:rsidRPr="00777727">
        <w:t xml:space="preserve"> confronted by a situation where the presentation is outside their competencies or service delivery parameters.</w:t>
      </w:r>
    </w:p>
    <w:p w:rsidR="00714296" w:rsidRDefault="00714296" w:rsidP="00714296">
      <w:pPr>
        <w:pStyle w:val="ListParagraph"/>
        <w:numPr>
          <w:ilvl w:val="0"/>
          <w:numId w:val="6"/>
        </w:numPr>
      </w:pPr>
      <w:r w:rsidRPr="00777727">
        <w:t>employment necessitates termination of client relationships</w:t>
      </w:r>
      <w:r w:rsidR="00777727" w:rsidRPr="00777727">
        <w:t>.</w:t>
      </w:r>
      <w:r w:rsidR="00BD0721">
        <w:t>\</w:t>
      </w:r>
    </w:p>
    <w:p w:rsidR="00687940" w:rsidRDefault="00687940" w:rsidP="006F3836">
      <w:pPr>
        <w:pStyle w:val="ListParagraph"/>
        <w:ind w:left="1080"/>
      </w:pPr>
    </w:p>
    <w:p w:rsidR="007641AC" w:rsidRPr="00777727" w:rsidRDefault="007641AC" w:rsidP="007641AC">
      <w:r w:rsidRPr="00777727">
        <w:t xml:space="preserve">APS ethical guidelines around “Conflict of Interest” also inform CVI policy in </w:t>
      </w:r>
      <w:r>
        <w:t xml:space="preserve">the </w:t>
      </w:r>
      <w:r w:rsidRPr="00777727">
        <w:t xml:space="preserve"> matter</w:t>
      </w:r>
      <w:r>
        <w:t xml:space="preserve"> of client referral</w:t>
      </w:r>
      <w:r w:rsidRPr="00777727">
        <w:t>.</w:t>
      </w:r>
    </w:p>
    <w:p w:rsidR="007641AC" w:rsidRPr="00777727" w:rsidRDefault="007641AC" w:rsidP="007641AC">
      <w:r w:rsidRPr="00777727">
        <w:t>The definition of a “conflict of interest” includes any bias or the appearance of bias in a decision-making process. This includes taking advantage (or the appearance thereof) of a pre-existing relationship (multiple relationships) for financial</w:t>
      </w:r>
      <w:r>
        <w:t>,</w:t>
      </w:r>
      <w:r w:rsidRPr="00777727">
        <w:t xml:space="preserve"> or other</w:t>
      </w:r>
      <w:r>
        <w:t>,</w:t>
      </w:r>
      <w:r w:rsidRPr="00777727">
        <w:t xml:space="preserve"> gain.</w:t>
      </w:r>
    </w:p>
    <w:p w:rsidR="00687940" w:rsidRDefault="007641AC" w:rsidP="007641AC">
      <w:r w:rsidRPr="00777727">
        <w:t>As CVI Consultants, we have a responsibility to “identify and avoid potential conflicts of interest and manage multiple relationships</w:t>
      </w:r>
      <w:r w:rsidR="00687940">
        <w:t xml:space="preserve"> and</w:t>
      </w:r>
      <w:r w:rsidRPr="00777727">
        <w:t xml:space="preserve"> to avoid any potential exploitation (financial or otherwise) or harm to clients”</w:t>
      </w:r>
    </w:p>
    <w:p w:rsidR="007641AC" w:rsidRDefault="007641AC" w:rsidP="007641AC">
      <w:r w:rsidRPr="00777727">
        <w:t xml:space="preserve"> (APS guidelines for Managing Professional Boundaries in Multiple Relationships 2008 and revised 2016).</w:t>
      </w:r>
    </w:p>
    <w:p w:rsidR="007641AC" w:rsidRPr="00777727" w:rsidRDefault="007641AC" w:rsidP="006F3836"/>
    <w:p w:rsidR="00714296" w:rsidRPr="00777727" w:rsidRDefault="00714296" w:rsidP="00714296">
      <w:r w:rsidRPr="00777727">
        <w:t xml:space="preserve">In the referral of clients, </w:t>
      </w:r>
      <w:r w:rsidR="0054458C">
        <w:t>C</w:t>
      </w:r>
      <w:r w:rsidR="00103826">
        <w:t>onsultants/CVI</w:t>
      </w:r>
      <w:r w:rsidRPr="00777727">
        <w:t xml:space="preserve"> are responsible for;</w:t>
      </w:r>
    </w:p>
    <w:p w:rsidR="00714296" w:rsidRPr="00777727" w:rsidRDefault="00714296" w:rsidP="00714296">
      <w:pPr>
        <w:pStyle w:val="ListParagraph"/>
        <w:numPr>
          <w:ilvl w:val="0"/>
          <w:numId w:val="7"/>
        </w:numPr>
      </w:pPr>
      <w:r w:rsidRPr="00777727">
        <w:t xml:space="preserve">Taking all reasonable steps to safeguard </w:t>
      </w:r>
      <w:r w:rsidR="00C941E7">
        <w:t>the</w:t>
      </w:r>
      <w:r w:rsidRPr="00777727">
        <w:t xml:space="preserve"> ongoing welfare</w:t>
      </w:r>
      <w:r w:rsidR="00C941E7">
        <w:t xml:space="preserve"> of client(s).</w:t>
      </w:r>
    </w:p>
    <w:p w:rsidR="00714296" w:rsidRPr="00777727" w:rsidRDefault="00103826" w:rsidP="00714296">
      <w:pPr>
        <w:pStyle w:val="ListParagraph"/>
        <w:numPr>
          <w:ilvl w:val="0"/>
          <w:numId w:val="7"/>
        </w:numPr>
      </w:pPr>
      <w:r>
        <w:t>P</w:t>
      </w:r>
      <w:r w:rsidR="00714296" w:rsidRPr="00777727">
        <w:t>rovid</w:t>
      </w:r>
      <w:r>
        <w:t>ing</w:t>
      </w:r>
      <w:r w:rsidR="00714296" w:rsidRPr="00777727">
        <w:t xml:space="preserve"> the client with an adequate</w:t>
      </w:r>
      <w:r w:rsidR="00325D54">
        <w:t xml:space="preserve"> and timely</w:t>
      </w:r>
      <w:r w:rsidR="00714296" w:rsidRPr="00777727">
        <w:t xml:space="preserve"> explanation of the need/reason for termination of services and referral.</w:t>
      </w:r>
    </w:p>
    <w:p w:rsidR="00714296" w:rsidRPr="00777727" w:rsidRDefault="00714296" w:rsidP="00714296">
      <w:pPr>
        <w:pStyle w:val="ListParagraph"/>
        <w:numPr>
          <w:ilvl w:val="0"/>
          <w:numId w:val="7"/>
        </w:numPr>
      </w:pPr>
      <w:r w:rsidRPr="00777727">
        <w:t>Mak</w:t>
      </w:r>
      <w:r w:rsidR="00103826">
        <w:t>ing</w:t>
      </w:r>
      <w:r w:rsidRPr="00777727">
        <w:t xml:space="preserve"> reasonable arrangements for the continuity of service when no longer able to deliver service</w:t>
      </w:r>
      <w:r w:rsidR="00103826">
        <w:t>.</w:t>
      </w:r>
    </w:p>
    <w:p w:rsidR="00714296" w:rsidRPr="00777727" w:rsidRDefault="00714296" w:rsidP="00714296">
      <w:pPr>
        <w:pStyle w:val="ListParagraph"/>
        <w:numPr>
          <w:ilvl w:val="0"/>
          <w:numId w:val="7"/>
        </w:numPr>
      </w:pPr>
      <w:r w:rsidRPr="00777727">
        <w:t>Having due regard for the psychological processes inherent in the termination of service and the client’s psychological wellbeing.</w:t>
      </w:r>
    </w:p>
    <w:p w:rsidR="008A55F0" w:rsidRPr="00777727" w:rsidRDefault="008A55F0" w:rsidP="006D5515">
      <w:pPr>
        <w:rPr>
          <w:rFonts w:eastAsia="Times New Roman"/>
          <w:b/>
        </w:rPr>
      </w:pPr>
    </w:p>
    <w:p w:rsidR="00D12740" w:rsidRDefault="00D12740" w:rsidP="006D5515">
      <w:pPr>
        <w:rPr>
          <w:rFonts w:eastAsia="Times New Roman"/>
          <w:b/>
        </w:rPr>
      </w:pPr>
    </w:p>
    <w:p w:rsidR="00C93260" w:rsidRDefault="00103826" w:rsidP="00B66356">
      <w:pPr>
        <w:rPr>
          <w:rFonts w:eastAsia="Times New Roman"/>
          <w:b/>
        </w:rPr>
      </w:pPr>
      <w:r>
        <w:rPr>
          <w:rFonts w:eastAsia="Times New Roman"/>
          <w:b/>
        </w:rPr>
        <w:lastRenderedPageBreak/>
        <w:t>In c</w:t>
      </w:r>
      <w:r w:rsidR="00A8301F">
        <w:rPr>
          <w:rFonts w:eastAsia="Times New Roman"/>
          <w:b/>
        </w:rPr>
        <w:t>onsideration of the</w:t>
      </w:r>
      <w:r>
        <w:rPr>
          <w:rFonts w:eastAsia="Times New Roman"/>
          <w:b/>
        </w:rPr>
        <w:t xml:space="preserve"> above, </w:t>
      </w:r>
      <w:r w:rsidR="00325D54">
        <w:rPr>
          <w:rFonts w:eastAsia="Times New Roman"/>
          <w:b/>
        </w:rPr>
        <w:t>all EAP Consultants have</w:t>
      </w:r>
      <w:r>
        <w:rPr>
          <w:rFonts w:eastAsia="Times New Roman"/>
          <w:b/>
        </w:rPr>
        <w:t xml:space="preserve"> the following responsibilities in the </w:t>
      </w:r>
      <w:r w:rsidR="002B7BE6">
        <w:rPr>
          <w:rFonts w:eastAsia="Times New Roman"/>
          <w:b/>
        </w:rPr>
        <w:t>context of</w:t>
      </w:r>
      <w:r>
        <w:rPr>
          <w:rFonts w:eastAsia="Times New Roman"/>
          <w:b/>
        </w:rPr>
        <w:t xml:space="preserve"> </w:t>
      </w:r>
      <w:r w:rsidR="00741E6C">
        <w:rPr>
          <w:rFonts w:eastAsia="Times New Roman"/>
          <w:b/>
        </w:rPr>
        <w:t>both the need for</w:t>
      </w:r>
      <w:r>
        <w:rPr>
          <w:rFonts w:eastAsia="Times New Roman"/>
          <w:b/>
        </w:rPr>
        <w:t xml:space="preserve"> internal transition or external referral of clients</w:t>
      </w:r>
      <w:r w:rsidR="00A8301F">
        <w:rPr>
          <w:rFonts w:eastAsia="Times New Roman"/>
          <w:b/>
        </w:rPr>
        <w:t>:</w:t>
      </w:r>
    </w:p>
    <w:p w:rsidR="00515ABF" w:rsidRDefault="004478CA" w:rsidP="00515ABF">
      <w:pPr>
        <w:pStyle w:val="ListParagraph"/>
        <w:numPr>
          <w:ilvl w:val="0"/>
          <w:numId w:val="17"/>
        </w:numPr>
        <w:rPr>
          <w:rFonts w:eastAsia="Times New Roman"/>
          <w:b/>
        </w:rPr>
      </w:pPr>
      <w:r w:rsidRPr="00515ABF">
        <w:rPr>
          <w:rFonts w:eastAsia="Times New Roman"/>
          <w:b/>
        </w:rPr>
        <w:t>E</w:t>
      </w:r>
      <w:r w:rsidR="00C93260" w:rsidRPr="00515ABF">
        <w:rPr>
          <w:rFonts w:eastAsia="Times New Roman"/>
          <w:b/>
        </w:rPr>
        <w:t>nsur</w:t>
      </w:r>
      <w:r w:rsidRPr="00515ABF">
        <w:rPr>
          <w:rFonts w:eastAsia="Times New Roman"/>
          <w:b/>
        </w:rPr>
        <w:t>ing</w:t>
      </w:r>
      <w:r w:rsidR="00C93260" w:rsidRPr="00515ABF">
        <w:rPr>
          <w:rFonts w:eastAsia="Times New Roman"/>
          <w:b/>
        </w:rPr>
        <w:t xml:space="preserve"> clients are</w:t>
      </w:r>
      <w:r w:rsidRPr="00515ABF">
        <w:rPr>
          <w:rFonts w:eastAsia="Times New Roman"/>
          <w:b/>
        </w:rPr>
        <w:t xml:space="preserve"> fully</w:t>
      </w:r>
      <w:r w:rsidR="00C93260" w:rsidRPr="00515ABF">
        <w:rPr>
          <w:rFonts w:eastAsia="Times New Roman"/>
          <w:b/>
        </w:rPr>
        <w:t xml:space="preserve"> informed of the parameters of EAP services </w:t>
      </w:r>
      <w:r w:rsidR="00515ABF" w:rsidRPr="00515ABF">
        <w:rPr>
          <w:rFonts w:eastAsia="Times New Roman"/>
          <w:b/>
        </w:rPr>
        <w:t>including:</w:t>
      </w:r>
    </w:p>
    <w:p w:rsidR="00515ABF" w:rsidRPr="00D12740" w:rsidRDefault="007F3257" w:rsidP="00515ABF">
      <w:pPr>
        <w:pStyle w:val="ListParagraph"/>
        <w:numPr>
          <w:ilvl w:val="0"/>
          <w:numId w:val="18"/>
        </w:numPr>
        <w:rPr>
          <w:rFonts w:eastAsia="Times New Roman"/>
        </w:rPr>
      </w:pPr>
      <w:r w:rsidRPr="00D12740">
        <w:rPr>
          <w:rFonts w:eastAsia="Times New Roman"/>
        </w:rPr>
        <w:t>Limited sessions</w:t>
      </w:r>
      <w:r w:rsidR="002B7BE6" w:rsidRPr="00D12740">
        <w:rPr>
          <w:rFonts w:eastAsia="Times New Roman"/>
        </w:rPr>
        <w:t xml:space="preserve"> available under</w:t>
      </w:r>
      <w:r w:rsidR="00C93260" w:rsidRPr="00D12740">
        <w:rPr>
          <w:rFonts w:eastAsia="Times New Roman"/>
        </w:rPr>
        <w:t xml:space="preserve"> the contractual parameters of service delivery.</w:t>
      </w:r>
    </w:p>
    <w:p w:rsidR="00515ABF" w:rsidRDefault="00515ABF" w:rsidP="00515ABF">
      <w:pPr>
        <w:pStyle w:val="ListParagraph"/>
        <w:numPr>
          <w:ilvl w:val="0"/>
          <w:numId w:val="18"/>
        </w:numPr>
        <w:rPr>
          <w:rFonts w:eastAsia="Times New Roman"/>
        </w:rPr>
      </w:pPr>
      <w:r w:rsidRPr="00D12740">
        <w:rPr>
          <w:rFonts w:eastAsia="Times New Roman"/>
        </w:rPr>
        <w:t xml:space="preserve">Service </w:t>
      </w:r>
      <w:r w:rsidR="007F3257" w:rsidRPr="00D12740">
        <w:rPr>
          <w:rFonts w:eastAsia="Times New Roman"/>
        </w:rPr>
        <w:t>parameters and</w:t>
      </w:r>
      <w:r w:rsidRPr="00D12740">
        <w:rPr>
          <w:rFonts w:eastAsia="Times New Roman"/>
        </w:rPr>
        <w:t xml:space="preserve"> restrictions specific to EAP services</w:t>
      </w:r>
      <w:r w:rsidR="007F3257" w:rsidRPr="00D12740">
        <w:rPr>
          <w:rFonts w:eastAsia="Times New Roman"/>
        </w:rPr>
        <w:t xml:space="preserve"> and multi-stakeholder responsibilities</w:t>
      </w:r>
      <w:r w:rsidR="002B7BE6" w:rsidRPr="00D12740">
        <w:rPr>
          <w:rFonts w:eastAsia="Times New Roman"/>
        </w:rPr>
        <w:t>.</w:t>
      </w:r>
    </w:p>
    <w:p w:rsidR="00325D54" w:rsidRPr="00D12740" w:rsidRDefault="00325D54" w:rsidP="00515ABF">
      <w:pPr>
        <w:pStyle w:val="ListParagraph"/>
        <w:numPr>
          <w:ilvl w:val="0"/>
          <w:numId w:val="18"/>
        </w:numPr>
        <w:rPr>
          <w:rFonts w:eastAsia="Times New Roman"/>
        </w:rPr>
      </w:pPr>
      <w:r>
        <w:rPr>
          <w:rFonts w:eastAsia="Times New Roman"/>
        </w:rPr>
        <w:t>Although continuity of care over an</w:t>
      </w:r>
      <w:r w:rsidR="009630A5">
        <w:rPr>
          <w:rFonts w:eastAsia="Times New Roman"/>
        </w:rPr>
        <w:t>y</w:t>
      </w:r>
      <w:r>
        <w:rPr>
          <w:rFonts w:eastAsia="Times New Roman"/>
        </w:rPr>
        <w:t xml:space="preserve"> discrete session</w:t>
      </w:r>
      <w:r w:rsidR="009630A5">
        <w:rPr>
          <w:rFonts w:eastAsia="Times New Roman"/>
        </w:rPr>
        <w:t xml:space="preserve"> allocation is supported, CVI is not contractually bound to provide services with a previously seen Consultant upon a separate presentation.</w:t>
      </w:r>
    </w:p>
    <w:p w:rsidR="00515ABF" w:rsidRPr="00D12740" w:rsidRDefault="00515ABF" w:rsidP="00515ABF">
      <w:pPr>
        <w:rPr>
          <w:rFonts w:eastAsia="Times New Roman"/>
        </w:rPr>
      </w:pPr>
    </w:p>
    <w:p w:rsidR="006535F3" w:rsidRDefault="00515ABF" w:rsidP="00515ABF">
      <w:pPr>
        <w:pStyle w:val="ListParagraph"/>
        <w:numPr>
          <w:ilvl w:val="0"/>
          <w:numId w:val="17"/>
        </w:numPr>
        <w:rPr>
          <w:rFonts w:eastAsia="Times New Roman"/>
          <w:b/>
        </w:rPr>
      </w:pPr>
      <w:r>
        <w:rPr>
          <w:rFonts w:eastAsia="Times New Roman"/>
          <w:b/>
        </w:rPr>
        <w:t>Monitoring counselling intervention and process</w:t>
      </w:r>
      <w:r w:rsidR="006535F3">
        <w:rPr>
          <w:rFonts w:eastAsia="Times New Roman"/>
          <w:b/>
        </w:rPr>
        <w:t xml:space="preserve"> </w:t>
      </w:r>
      <w:r w:rsidR="007F3257">
        <w:rPr>
          <w:rFonts w:eastAsia="Times New Roman"/>
          <w:b/>
        </w:rPr>
        <w:t>to ensure the</w:t>
      </w:r>
      <w:r w:rsidR="006535F3">
        <w:rPr>
          <w:rFonts w:eastAsia="Times New Roman"/>
          <w:b/>
        </w:rPr>
        <w:t xml:space="preserve"> client’s wellbeing</w:t>
      </w:r>
      <w:r>
        <w:rPr>
          <w:rFonts w:eastAsia="Times New Roman"/>
          <w:b/>
        </w:rPr>
        <w:t xml:space="preserve"> in the context of</w:t>
      </w:r>
      <w:r w:rsidR="006535F3">
        <w:rPr>
          <w:rFonts w:eastAsia="Times New Roman"/>
          <w:b/>
        </w:rPr>
        <w:t>;</w:t>
      </w:r>
    </w:p>
    <w:p w:rsidR="00515ABF" w:rsidRPr="00D12740" w:rsidRDefault="002B7BE6" w:rsidP="006535F3">
      <w:pPr>
        <w:pStyle w:val="ListParagraph"/>
        <w:numPr>
          <w:ilvl w:val="0"/>
          <w:numId w:val="19"/>
        </w:numPr>
        <w:rPr>
          <w:rFonts w:eastAsia="Times New Roman"/>
        </w:rPr>
      </w:pPr>
      <w:r w:rsidRPr="00D12740">
        <w:rPr>
          <w:rFonts w:eastAsia="Times New Roman"/>
        </w:rPr>
        <w:t>T</w:t>
      </w:r>
      <w:r w:rsidR="00515ABF" w:rsidRPr="00D12740">
        <w:rPr>
          <w:rFonts w:eastAsia="Times New Roman"/>
        </w:rPr>
        <w:t>he requirement to terminate ser</w:t>
      </w:r>
      <w:r w:rsidR="006535F3" w:rsidRPr="00D12740">
        <w:rPr>
          <w:rFonts w:eastAsia="Times New Roman"/>
        </w:rPr>
        <w:t>vices in a particular time frame</w:t>
      </w:r>
    </w:p>
    <w:p w:rsidR="00595F80" w:rsidRPr="00D12740" w:rsidRDefault="00741E6C" w:rsidP="006535F3">
      <w:pPr>
        <w:pStyle w:val="ListParagraph"/>
        <w:numPr>
          <w:ilvl w:val="0"/>
          <w:numId w:val="19"/>
        </w:numPr>
        <w:rPr>
          <w:rFonts w:eastAsia="Times New Roman"/>
        </w:rPr>
      </w:pPr>
      <w:r>
        <w:rPr>
          <w:rFonts w:eastAsia="Times New Roman"/>
        </w:rPr>
        <w:t>C</w:t>
      </w:r>
      <w:r w:rsidR="002B7BE6" w:rsidRPr="00D12740">
        <w:rPr>
          <w:rFonts w:eastAsia="Times New Roman"/>
        </w:rPr>
        <w:t>lient’s potential</w:t>
      </w:r>
      <w:r w:rsidR="00595F80" w:rsidRPr="00D12740">
        <w:rPr>
          <w:rFonts w:eastAsia="Times New Roman"/>
        </w:rPr>
        <w:t xml:space="preserve"> need for </w:t>
      </w:r>
      <w:r w:rsidR="002B7BE6" w:rsidRPr="00D12740">
        <w:rPr>
          <w:rFonts w:eastAsia="Times New Roman"/>
        </w:rPr>
        <w:t>support</w:t>
      </w:r>
      <w:r w:rsidR="00595F80" w:rsidRPr="00D12740">
        <w:rPr>
          <w:rFonts w:eastAsia="Times New Roman"/>
        </w:rPr>
        <w:t xml:space="preserve"> services </w:t>
      </w:r>
      <w:r w:rsidR="002B7BE6" w:rsidRPr="00D12740">
        <w:rPr>
          <w:rFonts w:eastAsia="Times New Roman"/>
        </w:rPr>
        <w:t xml:space="preserve">beyond EAP clinical parameters. </w:t>
      </w:r>
    </w:p>
    <w:p w:rsidR="007F3257" w:rsidRPr="00D12740" w:rsidRDefault="007F3257" w:rsidP="006535F3">
      <w:pPr>
        <w:pStyle w:val="ListParagraph"/>
        <w:numPr>
          <w:ilvl w:val="0"/>
          <w:numId w:val="19"/>
        </w:numPr>
        <w:rPr>
          <w:rFonts w:eastAsia="Times New Roman"/>
        </w:rPr>
      </w:pPr>
      <w:r w:rsidRPr="00D12740">
        <w:rPr>
          <w:rFonts w:eastAsia="Times New Roman"/>
        </w:rPr>
        <w:t>Specific counselling competencies required by the client</w:t>
      </w:r>
      <w:r w:rsidR="002B7BE6" w:rsidRPr="00D12740">
        <w:rPr>
          <w:rFonts w:eastAsia="Times New Roman"/>
        </w:rPr>
        <w:t>.</w:t>
      </w:r>
    </w:p>
    <w:p w:rsidR="002B7BE6" w:rsidRPr="00D12740" w:rsidRDefault="002B7BE6" w:rsidP="006535F3">
      <w:pPr>
        <w:pStyle w:val="ListParagraph"/>
        <w:numPr>
          <w:ilvl w:val="0"/>
          <w:numId w:val="19"/>
        </w:numPr>
        <w:rPr>
          <w:rFonts w:eastAsia="Times New Roman"/>
        </w:rPr>
      </w:pPr>
      <w:r w:rsidRPr="00D12740">
        <w:rPr>
          <w:rFonts w:eastAsia="Times New Roman"/>
        </w:rPr>
        <w:t>Making reasonable arrangements</w:t>
      </w:r>
      <w:r w:rsidR="0038533C" w:rsidRPr="00D12740">
        <w:rPr>
          <w:rFonts w:eastAsia="Times New Roman"/>
        </w:rPr>
        <w:t xml:space="preserve"> for ongoing service delivery </w:t>
      </w:r>
    </w:p>
    <w:p w:rsidR="006535F3" w:rsidRPr="00D12740" w:rsidRDefault="006535F3" w:rsidP="006535F3">
      <w:pPr>
        <w:rPr>
          <w:rFonts w:eastAsia="Times New Roman"/>
        </w:rPr>
      </w:pPr>
    </w:p>
    <w:p w:rsidR="006535F3" w:rsidRDefault="007F3257" w:rsidP="006535F3">
      <w:pPr>
        <w:pStyle w:val="ListParagraph"/>
        <w:numPr>
          <w:ilvl w:val="0"/>
          <w:numId w:val="17"/>
        </w:numPr>
        <w:rPr>
          <w:rFonts w:eastAsia="Times New Roman"/>
          <w:b/>
        </w:rPr>
      </w:pPr>
      <w:r>
        <w:rPr>
          <w:rFonts w:eastAsia="Times New Roman"/>
          <w:b/>
        </w:rPr>
        <w:t xml:space="preserve">Management of </w:t>
      </w:r>
      <w:r w:rsidR="002B7BE6">
        <w:rPr>
          <w:rFonts w:eastAsia="Times New Roman"/>
          <w:b/>
        </w:rPr>
        <w:t>potential “conflict of interest” in client service delivery and referral where:</w:t>
      </w:r>
    </w:p>
    <w:p w:rsidR="0038533C" w:rsidRPr="00D12740" w:rsidRDefault="00035278" w:rsidP="0038533C">
      <w:pPr>
        <w:pStyle w:val="ListParagraph"/>
        <w:numPr>
          <w:ilvl w:val="0"/>
          <w:numId w:val="20"/>
        </w:numPr>
        <w:rPr>
          <w:rFonts w:eastAsia="Times New Roman"/>
        </w:rPr>
      </w:pPr>
      <w:r>
        <w:rPr>
          <w:rFonts w:eastAsia="Times New Roman"/>
        </w:rPr>
        <w:t xml:space="preserve">Where </w:t>
      </w:r>
      <w:r w:rsidR="0038533C" w:rsidRPr="00D12740">
        <w:rPr>
          <w:rFonts w:eastAsia="Times New Roman"/>
        </w:rPr>
        <w:t>service delivery to multiple clients may impair the</w:t>
      </w:r>
      <w:r>
        <w:rPr>
          <w:rFonts w:eastAsia="Times New Roman"/>
        </w:rPr>
        <w:t xml:space="preserve"> Consultants</w:t>
      </w:r>
      <w:r w:rsidR="0038533C" w:rsidRPr="00D12740">
        <w:rPr>
          <w:rFonts w:eastAsia="Times New Roman"/>
        </w:rPr>
        <w:t xml:space="preserve"> effectiveness or objectivity.</w:t>
      </w:r>
    </w:p>
    <w:p w:rsidR="0038533C" w:rsidRPr="00D12740" w:rsidRDefault="0038533C" w:rsidP="0038533C">
      <w:pPr>
        <w:pStyle w:val="ListParagraph"/>
        <w:numPr>
          <w:ilvl w:val="0"/>
          <w:numId w:val="20"/>
        </w:numPr>
        <w:rPr>
          <w:rFonts w:eastAsia="Times New Roman"/>
        </w:rPr>
      </w:pPr>
      <w:r w:rsidRPr="00D12740">
        <w:rPr>
          <w:rFonts w:eastAsia="Times New Roman"/>
        </w:rPr>
        <w:t>Where there exist multi-stakeholder obligations and continuation of service delivery may result in a conflict of interest.</w:t>
      </w:r>
    </w:p>
    <w:p w:rsidR="00BF294D" w:rsidRPr="00D12740" w:rsidRDefault="0038533C" w:rsidP="0038533C">
      <w:pPr>
        <w:pStyle w:val="ListParagraph"/>
        <w:numPr>
          <w:ilvl w:val="0"/>
          <w:numId w:val="20"/>
        </w:numPr>
        <w:rPr>
          <w:rFonts w:eastAsia="Times New Roman"/>
        </w:rPr>
      </w:pPr>
      <w:r w:rsidRPr="00D12740">
        <w:rPr>
          <w:rFonts w:eastAsia="Times New Roman"/>
        </w:rPr>
        <w:t>Where there exists</w:t>
      </w:r>
      <w:r w:rsidR="00BF294D" w:rsidRPr="00D12740">
        <w:rPr>
          <w:rFonts w:eastAsia="Times New Roman"/>
        </w:rPr>
        <w:t xml:space="preserve"> any dual relationship between Consultant and</w:t>
      </w:r>
      <w:r w:rsidR="00741E6C">
        <w:rPr>
          <w:rFonts w:eastAsia="Times New Roman"/>
        </w:rPr>
        <w:t xml:space="preserve"> a </w:t>
      </w:r>
      <w:r w:rsidR="003024C2">
        <w:rPr>
          <w:rFonts w:eastAsia="Times New Roman"/>
        </w:rPr>
        <w:t>referral</w:t>
      </w:r>
      <w:r w:rsidR="00403F9C">
        <w:rPr>
          <w:rFonts w:eastAsia="Times New Roman"/>
        </w:rPr>
        <w:t xml:space="preserve"> option.</w:t>
      </w:r>
    </w:p>
    <w:p w:rsidR="0038533C" w:rsidRPr="00D12740" w:rsidRDefault="00BF294D" w:rsidP="0038533C">
      <w:pPr>
        <w:pStyle w:val="ListParagraph"/>
        <w:numPr>
          <w:ilvl w:val="0"/>
          <w:numId w:val="20"/>
        </w:numPr>
        <w:rPr>
          <w:rFonts w:eastAsia="Times New Roman"/>
        </w:rPr>
      </w:pPr>
      <w:r w:rsidRPr="00D12740">
        <w:rPr>
          <w:rFonts w:eastAsia="Times New Roman"/>
        </w:rPr>
        <w:t>Where the referral may be viewed as exploiting a professional relationship.</w:t>
      </w:r>
    </w:p>
    <w:p w:rsidR="00BF294D" w:rsidRPr="00D12740" w:rsidRDefault="00BF294D" w:rsidP="00BF294D">
      <w:pPr>
        <w:pStyle w:val="ListParagraph"/>
        <w:rPr>
          <w:rFonts w:eastAsia="Times New Roman"/>
        </w:rPr>
      </w:pPr>
    </w:p>
    <w:p w:rsidR="00515ABF" w:rsidRDefault="00515ABF" w:rsidP="00515ABF">
      <w:pPr>
        <w:rPr>
          <w:rFonts w:eastAsia="Times New Roman"/>
          <w:b/>
        </w:rPr>
      </w:pPr>
    </w:p>
    <w:p w:rsidR="00C93260" w:rsidRPr="00AE78FF" w:rsidRDefault="007B483A" w:rsidP="00C93260">
      <w:pPr>
        <w:rPr>
          <w:rFonts w:eastAsia="Times New Roman"/>
          <w:b/>
        </w:rPr>
      </w:pPr>
      <w:r>
        <w:rPr>
          <w:rFonts w:eastAsia="Times New Roman"/>
          <w:b/>
        </w:rPr>
        <w:t>Policy</w:t>
      </w:r>
      <w:r w:rsidR="004A43D8">
        <w:rPr>
          <w:rFonts w:eastAsia="Times New Roman"/>
          <w:b/>
        </w:rPr>
        <w:t xml:space="preserve"> </w:t>
      </w:r>
      <w:r w:rsidR="00507D3C">
        <w:rPr>
          <w:rFonts w:eastAsia="Times New Roman"/>
          <w:b/>
        </w:rPr>
        <w:t>and Procedures</w:t>
      </w:r>
    </w:p>
    <w:p w:rsidR="00C93260" w:rsidRDefault="00C95C25" w:rsidP="006965A3">
      <w:pPr>
        <w:pStyle w:val="ListParagraph"/>
        <w:numPr>
          <w:ilvl w:val="0"/>
          <w:numId w:val="13"/>
        </w:numPr>
        <w:rPr>
          <w:rFonts w:eastAsia="Times New Roman"/>
          <w:b/>
        </w:rPr>
      </w:pPr>
      <w:r w:rsidRPr="006965A3">
        <w:rPr>
          <w:rFonts w:eastAsia="Times New Roman"/>
          <w:b/>
        </w:rPr>
        <w:t>It is CVI policy that in the</w:t>
      </w:r>
      <w:r w:rsidR="000B274B" w:rsidRPr="006965A3">
        <w:rPr>
          <w:rFonts w:eastAsia="Times New Roman"/>
          <w:b/>
        </w:rPr>
        <w:t xml:space="preserve"> </w:t>
      </w:r>
      <w:r w:rsidR="009E63E0" w:rsidRPr="006965A3">
        <w:rPr>
          <w:rFonts w:eastAsia="Times New Roman"/>
          <w:b/>
        </w:rPr>
        <w:t xml:space="preserve">facilitation of </w:t>
      </w:r>
      <w:r w:rsidR="007B483A">
        <w:rPr>
          <w:rFonts w:eastAsia="Times New Roman"/>
          <w:b/>
        </w:rPr>
        <w:t xml:space="preserve">all </w:t>
      </w:r>
      <w:r w:rsidR="009E63E0" w:rsidRPr="006965A3">
        <w:rPr>
          <w:rFonts w:eastAsia="Times New Roman"/>
          <w:b/>
        </w:rPr>
        <w:t>client referr</w:t>
      </w:r>
      <w:r w:rsidR="004A43D8">
        <w:rPr>
          <w:rFonts w:eastAsia="Times New Roman"/>
          <w:b/>
        </w:rPr>
        <w:t>al</w:t>
      </w:r>
      <w:r w:rsidR="009E63E0" w:rsidRPr="006965A3">
        <w:rPr>
          <w:rFonts w:eastAsia="Times New Roman"/>
          <w:b/>
        </w:rPr>
        <w:t xml:space="preserve"> the following is addressed.</w:t>
      </w:r>
      <w:r w:rsidR="00484B76" w:rsidRPr="006965A3">
        <w:rPr>
          <w:rFonts w:eastAsia="Times New Roman"/>
          <w:b/>
        </w:rPr>
        <w:t xml:space="preserve"> Referral options </w:t>
      </w:r>
      <w:r w:rsidR="001F0455" w:rsidRPr="006965A3">
        <w:rPr>
          <w:rFonts w:eastAsia="Times New Roman"/>
          <w:b/>
        </w:rPr>
        <w:t>provided must:</w:t>
      </w:r>
    </w:p>
    <w:p w:rsidR="006965A3" w:rsidRPr="006965A3" w:rsidRDefault="006965A3" w:rsidP="006965A3">
      <w:pPr>
        <w:rPr>
          <w:rFonts w:eastAsia="Times New Roman"/>
          <w:b/>
        </w:rPr>
      </w:pPr>
    </w:p>
    <w:p w:rsidR="00B81245" w:rsidRPr="00035278" w:rsidRDefault="009E63E0" w:rsidP="006965A3">
      <w:pPr>
        <w:pStyle w:val="ListParagraph"/>
        <w:numPr>
          <w:ilvl w:val="1"/>
          <w:numId w:val="13"/>
        </w:numPr>
        <w:rPr>
          <w:rFonts w:eastAsia="Times New Roman"/>
        </w:rPr>
      </w:pPr>
      <w:r w:rsidRPr="00035278">
        <w:rPr>
          <w:rFonts w:eastAsia="Times New Roman"/>
        </w:rPr>
        <w:t xml:space="preserve">Only </w:t>
      </w:r>
      <w:r w:rsidR="001F0455" w:rsidRPr="00035278">
        <w:rPr>
          <w:rFonts w:eastAsia="Times New Roman"/>
        </w:rPr>
        <w:t>include</w:t>
      </w:r>
      <w:r w:rsidR="00B81245" w:rsidRPr="00035278">
        <w:rPr>
          <w:rFonts w:eastAsia="Times New Roman"/>
        </w:rPr>
        <w:t xml:space="preserve"> options </w:t>
      </w:r>
      <w:r w:rsidR="004B0549" w:rsidRPr="00035278">
        <w:rPr>
          <w:rFonts w:eastAsia="Times New Roman"/>
        </w:rPr>
        <w:t xml:space="preserve">whose </w:t>
      </w:r>
      <w:r w:rsidR="00C433D8" w:rsidRPr="00035278">
        <w:rPr>
          <w:rFonts w:eastAsia="Times New Roman"/>
        </w:rPr>
        <w:t>interventions</w:t>
      </w:r>
      <w:r w:rsidR="006616E1" w:rsidRPr="00035278">
        <w:rPr>
          <w:rFonts w:eastAsia="Times New Roman"/>
        </w:rPr>
        <w:t xml:space="preserve"> are aligned </w:t>
      </w:r>
      <w:r w:rsidR="004B0549" w:rsidRPr="00035278">
        <w:rPr>
          <w:rFonts w:eastAsia="Times New Roman"/>
        </w:rPr>
        <w:t xml:space="preserve">with </w:t>
      </w:r>
      <w:r w:rsidR="006616E1" w:rsidRPr="00035278">
        <w:rPr>
          <w:rFonts w:eastAsia="Times New Roman"/>
        </w:rPr>
        <w:t xml:space="preserve">those </w:t>
      </w:r>
      <w:r w:rsidR="00C433D8" w:rsidRPr="00035278">
        <w:rPr>
          <w:rFonts w:eastAsia="Times New Roman"/>
        </w:rPr>
        <w:t xml:space="preserve">modalities </w:t>
      </w:r>
      <w:r w:rsidR="006616E1" w:rsidRPr="00035278">
        <w:rPr>
          <w:rFonts w:eastAsia="Times New Roman"/>
        </w:rPr>
        <w:t>deemed as acceptable by mainstream psychology</w:t>
      </w:r>
      <w:r w:rsidR="00C433D8" w:rsidRPr="00035278">
        <w:rPr>
          <w:rFonts w:eastAsia="Times New Roman"/>
        </w:rPr>
        <w:t xml:space="preserve">, </w:t>
      </w:r>
      <w:r w:rsidR="006616E1" w:rsidRPr="00035278">
        <w:rPr>
          <w:rFonts w:eastAsia="Times New Roman"/>
        </w:rPr>
        <w:t>social work</w:t>
      </w:r>
      <w:r w:rsidR="00C433D8" w:rsidRPr="00035278">
        <w:rPr>
          <w:rFonts w:eastAsia="Times New Roman"/>
        </w:rPr>
        <w:t xml:space="preserve"> and</w:t>
      </w:r>
      <w:r w:rsidR="006616E1" w:rsidRPr="00035278">
        <w:rPr>
          <w:rFonts w:eastAsia="Times New Roman"/>
        </w:rPr>
        <w:t xml:space="preserve"> counselling</w:t>
      </w:r>
      <w:r w:rsidR="00C433D8" w:rsidRPr="00035278">
        <w:rPr>
          <w:rFonts w:eastAsia="Times New Roman"/>
        </w:rPr>
        <w:t xml:space="preserve"> practice</w:t>
      </w:r>
      <w:r w:rsidRPr="00035278">
        <w:rPr>
          <w:rFonts w:eastAsia="Times New Roman"/>
        </w:rPr>
        <w:t xml:space="preserve"> will be considered</w:t>
      </w:r>
      <w:r w:rsidR="006616E1" w:rsidRPr="00035278">
        <w:rPr>
          <w:rFonts w:eastAsia="Times New Roman"/>
        </w:rPr>
        <w:t>.</w:t>
      </w:r>
    </w:p>
    <w:p w:rsidR="006616E1" w:rsidRPr="00035278" w:rsidRDefault="006616E1" w:rsidP="006965A3">
      <w:pPr>
        <w:pStyle w:val="ListParagraph"/>
        <w:numPr>
          <w:ilvl w:val="1"/>
          <w:numId w:val="13"/>
        </w:numPr>
        <w:rPr>
          <w:rFonts w:eastAsia="Times New Roman"/>
        </w:rPr>
      </w:pPr>
      <w:r w:rsidRPr="00035278">
        <w:rPr>
          <w:rFonts w:eastAsia="Times New Roman"/>
        </w:rPr>
        <w:t>Meet the specific needs of the client</w:t>
      </w:r>
    </w:p>
    <w:p w:rsidR="006616E1" w:rsidRPr="00035278" w:rsidRDefault="006616E1" w:rsidP="006965A3">
      <w:pPr>
        <w:pStyle w:val="ListParagraph"/>
        <w:numPr>
          <w:ilvl w:val="1"/>
          <w:numId w:val="13"/>
        </w:numPr>
        <w:rPr>
          <w:rFonts w:eastAsia="Times New Roman"/>
        </w:rPr>
      </w:pPr>
      <w:r w:rsidRPr="00035278">
        <w:rPr>
          <w:rFonts w:eastAsia="Times New Roman"/>
        </w:rPr>
        <w:t>D</w:t>
      </w:r>
      <w:r w:rsidR="001F0455" w:rsidRPr="00035278">
        <w:rPr>
          <w:rFonts w:eastAsia="Times New Roman"/>
        </w:rPr>
        <w:t>o</w:t>
      </w:r>
      <w:r w:rsidRPr="00035278">
        <w:rPr>
          <w:rFonts w:eastAsia="Times New Roman"/>
        </w:rPr>
        <w:t xml:space="preserve"> not, in any way, exploit the client</w:t>
      </w:r>
    </w:p>
    <w:p w:rsidR="006616E1" w:rsidRPr="00035278" w:rsidRDefault="006616E1" w:rsidP="006965A3">
      <w:pPr>
        <w:pStyle w:val="ListParagraph"/>
        <w:numPr>
          <w:ilvl w:val="1"/>
          <w:numId w:val="13"/>
        </w:numPr>
        <w:rPr>
          <w:rFonts w:eastAsia="Times New Roman"/>
        </w:rPr>
      </w:pPr>
      <w:r w:rsidRPr="00035278">
        <w:rPr>
          <w:rFonts w:eastAsia="Times New Roman"/>
        </w:rPr>
        <w:t>Avoid potential conflict of interest</w:t>
      </w:r>
      <w:r w:rsidR="00C36552" w:rsidRPr="00035278">
        <w:rPr>
          <w:rFonts w:eastAsia="Times New Roman"/>
        </w:rPr>
        <w:t xml:space="preserve"> for Client and Consultant.</w:t>
      </w:r>
    </w:p>
    <w:p w:rsidR="006616E1" w:rsidRPr="00035278" w:rsidRDefault="00C36552" w:rsidP="006965A3">
      <w:pPr>
        <w:pStyle w:val="ListParagraph"/>
        <w:numPr>
          <w:ilvl w:val="1"/>
          <w:numId w:val="13"/>
        </w:numPr>
        <w:rPr>
          <w:rFonts w:eastAsia="Times New Roman"/>
        </w:rPr>
      </w:pPr>
      <w:r w:rsidRPr="00035278">
        <w:rPr>
          <w:rFonts w:eastAsia="Times New Roman"/>
        </w:rPr>
        <w:t>Respect</w:t>
      </w:r>
      <w:r w:rsidR="00C95C25" w:rsidRPr="00035278">
        <w:rPr>
          <w:rFonts w:eastAsia="Times New Roman"/>
        </w:rPr>
        <w:t>s</w:t>
      </w:r>
      <w:r w:rsidRPr="00035278">
        <w:rPr>
          <w:rFonts w:eastAsia="Times New Roman"/>
        </w:rPr>
        <w:t xml:space="preserve"> the</w:t>
      </w:r>
      <w:r w:rsidR="006616E1" w:rsidRPr="00035278">
        <w:rPr>
          <w:rFonts w:eastAsia="Times New Roman"/>
        </w:rPr>
        <w:t xml:space="preserve"> client’s </w:t>
      </w:r>
      <w:r w:rsidRPr="00035278">
        <w:rPr>
          <w:rFonts w:eastAsia="Times New Roman"/>
        </w:rPr>
        <w:t>“</w:t>
      </w:r>
      <w:r w:rsidR="006616E1" w:rsidRPr="00035278">
        <w:rPr>
          <w:rFonts w:eastAsia="Times New Roman"/>
        </w:rPr>
        <w:t>right to decide</w:t>
      </w:r>
      <w:r w:rsidRPr="00035278">
        <w:rPr>
          <w:rFonts w:eastAsia="Times New Roman"/>
        </w:rPr>
        <w:t>”.</w:t>
      </w:r>
    </w:p>
    <w:p w:rsidR="009E63E0" w:rsidRPr="00035278" w:rsidRDefault="001F0455" w:rsidP="006965A3">
      <w:pPr>
        <w:pStyle w:val="ListParagraph"/>
        <w:numPr>
          <w:ilvl w:val="1"/>
          <w:numId w:val="13"/>
        </w:numPr>
        <w:rPr>
          <w:rFonts w:eastAsia="Times New Roman"/>
        </w:rPr>
      </w:pPr>
      <w:r w:rsidRPr="00035278">
        <w:rPr>
          <w:rFonts w:eastAsia="Times New Roman"/>
        </w:rPr>
        <w:t>Where possible, be accessible to the client in terms of locality and cost.</w:t>
      </w:r>
    </w:p>
    <w:p w:rsidR="006965A3" w:rsidRDefault="006965A3" w:rsidP="006965A3">
      <w:pPr>
        <w:pStyle w:val="ListParagraph"/>
        <w:numPr>
          <w:ilvl w:val="1"/>
          <w:numId w:val="13"/>
        </w:numPr>
        <w:rPr>
          <w:rFonts w:eastAsia="Times New Roman"/>
        </w:rPr>
      </w:pPr>
      <w:r w:rsidRPr="00035278">
        <w:rPr>
          <w:rFonts w:eastAsia="Times New Roman"/>
        </w:rPr>
        <w:t>Be provided prior to the final session.</w:t>
      </w:r>
    </w:p>
    <w:p w:rsidR="00494879" w:rsidRDefault="00494879" w:rsidP="006965A3">
      <w:pPr>
        <w:pStyle w:val="ListParagraph"/>
        <w:numPr>
          <w:ilvl w:val="1"/>
          <w:numId w:val="13"/>
        </w:numPr>
        <w:rPr>
          <w:rFonts w:eastAsia="Times New Roman"/>
        </w:rPr>
      </w:pPr>
      <w:r>
        <w:rPr>
          <w:rFonts w:eastAsia="Times New Roman"/>
        </w:rPr>
        <w:t>Where possible include 3 options.</w:t>
      </w:r>
    </w:p>
    <w:p w:rsidR="00494879" w:rsidRDefault="00494879" w:rsidP="006965A3">
      <w:pPr>
        <w:pStyle w:val="ListParagraph"/>
        <w:numPr>
          <w:ilvl w:val="1"/>
          <w:numId w:val="13"/>
        </w:numPr>
        <w:rPr>
          <w:rFonts w:eastAsia="Times New Roman"/>
        </w:rPr>
      </w:pPr>
      <w:r>
        <w:rPr>
          <w:rFonts w:eastAsia="Times New Roman"/>
        </w:rPr>
        <w:t>Options provided must be recorded on the client’s notes.</w:t>
      </w:r>
    </w:p>
    <w:p w:rsidR="00035278" w:rsidRDefault="00035278" w:rsidP="00035278">
      <w:pPr>
        <w:pStyle w:val="ListParagraph"/>
        <w:rPr>
          <w:rFonts w:eastAsia="Times New Roman"/>
          <w:b/>
        </w:rPr>
      </w:pPr>
    </w:p>
    <w:p w:rsidR="001E3101" w:rsidRDefault="00035278" w:rsidP="00035278">
      <w:pPr>
        <w:rPr>
          <w:rFonts w:eastAsia="Times New Roman"/>
          <w:b/>
        </w:rPr>
      </w:pPr>
      <w:r>
        <w:rPr>
          <w:rFonts w:eastAsia="Times New Roman"/>
          <w:b/>
        </w:rPr>
        <w:t xml:space="preserve">NB: </w:t>
      </w:r>
      <w:r w:rsidR="00CC4EAF" w:rsidRPr="00035278">
        <w:rPr>
          <w:rFonts w:eastAsia="Times New Roman"/>
          <w:b/>
        </w:rPr>
        <w:t xml:space="preserve">Consultants providing the names of individual providers are to ensure that the client is aware that the </w:t>
      </w:r>
      <w:r>
        <w:rPr>
          <w:rFonts w:eastAsia="Times New Roman"/>
          <w:b/>
        </w:rPr>
        <w:t>referral</w:t>
      </w:r>
      <w:r w:rsidR="00CC4EAF" w:rsidRPr="00035278">
        <w:rPr>
          <w:rFonts w:eastAsia="Times New Roman"/>
          <w:b/>
        </w:rPr>
        <w:t xml:space="preserve"> is NOT CVI endorsed.</w:t>
      </w:r>
    </w:p>
    <w:p w:rsidR="0032208A" w:rsidRDefault="0032208A" w:rsidP="0032208A">
      <w:pPr>
        <w:rPr>
          <w:b/>
          <w:bCs/>
        </w:rPr>
      </w:pPr>
      <w:r>
        <w:rPr>
          <w:b/>
          <w:bCs/>
        </w:rPr>
        <w:t>2. Exceptions</w:t>
      </w:r>
    </w:p>
    <w:p w:rsidR="0032208A" w:rsidRDefault="0032208A" w:rsidP="0032208A">
      <w:r>
        <w:t>There are some circumstances where competing ethical and best practice considerations may exist and need to be considered. In such circumstances the “best interests of the client” must be paramount.</w:t>
      </w:r>
    </w:p>
    <w:p w:rsidR="0032208A" w:rsidRDefault="0032208A" w:rsidP="0032208A">
      <w:r>
        <w:t>Such circumstances may apply to though not be limited to:</w:t>
      </w:r>
    </w:p>
    <w:p w:rsidR="0032208A" w:rsidRPr="00AF450F" w:rsidRDefault="0032208A" w:rsidP="0032208A">
      <w:pPr>
        <w:pStyle w:val="ListParagraph"/>
        <w:numPr>
          <w:ilvl w:val="0"/>
          <w:numId w:val="4"/>
        </w:numPr>
        <w:spacing w:after="160" w:line="252" w:lineRule="auto"/>
        <w:contextualSpacing/>
        <w:rPr>
          <w:rFonts w:eastAsia="Times New Roman"/>
          <w:highlight w:val="yellow"/>
        </w:rPr>
      </w:pPr>
      <w:r w:rsidRPr="00AF450F">
        <w:rPr>
          <w:rFonts w:eastAsia="Times New Roman"/>
          <w:highlight w:val="yellow"/>
        </w:rPr>
        <w:t>Remote/rural areas where access to a range of professionals is limited.</w:t>
      </w:r>
    </w:p>
    <w:p w:rsidR="0032208A" w:rsidRPr="00AF450F" w:rsidRDefault="0032208A" w:rsidP="0032208A">
      <w:pPr>
        <w:pStyle w:val="ListParagraph"/>
        <w:numPr>
          <w:ilvl w:val="0"/>
          <w:numId w:val="4"/>
        </w:numPr>
        <w:spacing w:after="160" w:line="252" w:lineRule="auto"/>
        <w:contextualSpacing/>
        <w:rPr>
          <w:rFonts w:eastAsia="Times New Roman"/>
          <w:highlight w:val="yellow"/>
        </w:rPr>
      </w:pPr>
      <w:r w:rsidRPr="00AF450F">
        <w:rPr>
          <w:rFonts w:eastAsia="Times New Roman"/>
          <w:highlight w:val="yellow"/>
        </w:rPr>
        <w:t>Presentations requiring a clinical specialisation otherwise inaccessible.</w:t>
      </w:r>
    </w:p>
    <w:p w:rsidR="0032208A" w:rsidRPr="00AF450F" w:rsidRDefault="0032208A" w:rsidP="0032208A">
      <w:pPr>
        <w:rPr>
          <w:highlight w:val="yellow"/>
        </w:rPr>
      </w:pPr>
      <w:r w:rsidRPr="00AF450F">
        <w:rPr>
          <w:highlight w:val="yellow"/>
        </w:rPr>
        <w:t>Should a Consultant believe that such an “exception” exists they are to confer with the relevant Operations Manager or Director People Assist prior to any referral. Discussion will centre on that which is in the best interests of the client where multiple ethical considerations co-exist.</w:t>
      </w:r>
    </w:p>
    <w:p w:rsidR="00BF157F" w:rsidRDefault="0032208A" w:rsidP="0032208A">
      <w:r w:rsidRPr="00AF450F">
        <w:rPr>
          <w:highlight w:val="yellow"/>
        </w:rPr>
        <w:t>Should a decision be made allowing an exception to those expectations outlined above, the Consultant and CVI will transparently inform other “interested parties” (including the client) of the decision, any service limitations and the transfer noted on the client’s EAP file. The Consultant is to set up a separate private practice file.</w:t>
      </w:r>
      <w:r w:rsidR="00EB4225">
        <w:rPr>
          <w:highlight w:val="yellow"/>
        </w:rPr>
        <w:t xml:space="preserve"> </w:t>
      </w:r>
    </w:p>
    <w:p w:rsidR="009F5636" w:rsidRDefault="009F5636" w:rsidP="0032208A"/>
    <w:p w:rsidR="004A43D8" w:rsidRPr="002E28E6" w:rsidRDefault="00CC5647" w:rsidP="006F3836">
      <w:pPr>
        <w:pStyle w:val="ListParagraph"/>
        <w:spacing w:line="252" w:lineRule="auto"/>
        <w:contextualSpacing/>
        <w:rPr>
          <w:rFonts w:eastAsia="Times New Roman"/>
          <w:b/>
          <w:bCs/>
        </w:rPr>
      </w:pPr>
      <w:proofErr w:type="gramStart"/>
      <w:r w:rsidRPr="002E28E6">
        <w:rPr>
          <w:rFonts w:eastAsia="Times New Roman"/>
          <w:b/>
        </w:rPr>
        <w:t xml:space="preserve">Employees </w:t>
      </w:r>
      <w:r w:rsidR="00C4026D" w:rsidRPr="002E28E6">
        <w:rPr>
          <w:rFonts w:eastAsia="Times New Roman"/>
          <w:b/>
        </w:rPr>
        <w:t xml:space="preserve"> (</w:t>
      </w:r>
      <w:proofErr w:type="gramEnd"/>
      <w:r w:rsidR="00C4026D" w:rsidRPr="002E28E6">
        <w:rPr>
          <w:rFonts w:eastAsia="Times New Roman"/>
          <w:b/>
        </w:rPr>
        <w:t>External Client Referral</w:t>
      </w:r>
    </w:p>
    <w:p w:rsidR="004A43D8" w:rsidRPr="009D2DB3" w:rsidRDefault="005B7B60" w:rsidP="0032208A">
      <w:pPr>
        <w:pStyle w:val="ListParagraph"/>
        <w:numPr>
          <w:ilvl w:val="1"/>
          <w:numId w:val="17"/>
        </w:numPr>
        <w:rPr>
          <w:b/>
        </w:rPr>
      </w:pPr>
      <w:r>
        <w:rPr>
          <w:b/>
        </w:rPr>
        <w:t xml:space="preserve">Under </w:t>
      </w:r>
      <w:r w:rsidR="004A43D8" w:rsidRPr="008B5740">
        <w:rPr>
          <w:b/>
        </w:rPr>
        <w:t>CVI</w:t>
      </w:r>
      <w:r>
        <w:rPr>
          <w:b/>
        </w:rPr>
        <w:t xml:space="preserve"> policy,</w:t>
      </w:r>
      <w:r w:rsidR="004A43D8" w:rsidRPr="008B5740">
        <w:rPr>
          <w:b/>
        </w:rPr>
        <w:t xml:space="preserve"> Consultants </w:t>
      </w:r>
      <w:r>
        <w:rPr>
          <w:b/>
        </w:rPr>
        <w:t>may not</w:t>
      </w:r>
      <w:r w:rsidR="004A43D8" w:rsidRPr="008B5740">
        <w:rPr>
          <w:b/>
        </w:rPr>
        <w:t xml:space="preserve"> refer clients initially seen by them under any CVI EAP service to any private practice they may have some interest in from a business or professional </w:t>
      </w:r>
      <w:r w:rsidR="004A43D8" w:rsidRPr="009D2DB3">
        <w:rPr>
          <w:b/>
        </w:rPr>
        <w:t>perspective.</w:t>
      </w:r>
    </w:p>
    <w:p w:rsidR="00035278" w:rsidRPr="0032208A" w:rsidRDefault="00403F9C" w:rsidP="006F3836">
      <w:pPr>
        <w:rPr>
          <w:rFonts w:eastAsia="Times New Roman"/>
          <w:b/>
          <w:bCs/>
        </w:rPr>
      </w:pPr>
      <w:r w:rsidRPr="008B5740">
        <w:rPr>
          <w:b/>
        </w:rPr>
        <w:t>Any situation where a CVI Consultant might profit or be seen to profit from his/her “relationship” with CVI would be deemed a conflict of interest and therefore to be avoided.</w:t>
      </w:r>
      <w:r w:rsidR="008B5740" w:rsidRPr="006F3836">
        <w:rPr>
          <w:b/>
        </w:rPr>
        <w:t xml:space="preserve"> </w:t>
      </w:r>
      <w:r w:rsidR="00B52272">
        <w:t>However, s</w:t>
      </w:r>
      <w:r w:rsidR="004A43D8">
        <w:t xml:space="preserve">hould a client independently contact a Consultant in their private practice </w:t>
      </w:r>
      <w:r w:rsidR="004A43D8">
        <w:rPr>
          <w:b/>
          <w:bCs/>
        </w:rPr>
        <w:t>after a prescribed period</w:t>
      </w:r>
      <w:r w:rsidR="004A43D8">
        <w:t xml:space="preserve"> </w:t>
      </w:r>
      <w:r w:rsidR="004A43D8">
        <w:rPr>
          <w:b/>
          <w:bCs/>
        </w:rPr>
        <w:t xml:space="preserve">of </w:t>
      </w:r>
      <w:r w:rsidR="002E28E6">
        <w:rPr>
          <w:b/>
          <w:bCs/>
        </w:rPr>
        <w:t>1 year</w:t>
      </w:r>
      <w:r w:rsidR="004A43D8">
        <w:rPr>
          <w:b/>
          <w:bCs/>
        </w:rPr>
        <w:t xml:space="preserve"> post the last contact</w:t>
      </w:r>
      <w:r w:rsidR="004A43D8">
        <w:t xml:space="preserve"> </w:t>
      </w:r>
      <w:r w:rsidR="004A43D8" w:rsidRPr="0032208A">
        <w:rPr>
          <w:b/>
        </w:rPr>
        <w:t>with the client via EAP services</w:t>
      </w:r>
      <w:r w:rsidR="004A43D8">
        <w:t>, then it becomes the Consultant’s decision and professional responsibility to ensure that engagement</w:t>
      </w:r>
      <w:r w:rsidR="00B52272">
        <w:t xml:space="preserve"> of the individual(s) via their private practice</w:t>
      </w:r>
      <w:r w:rsidR="004A43D8">
        <w:t xml:space="preserve"> poses no ethical risk or service confusion</w:t>
      </w:r>
      <w:r w:rsidR="005B7B60">
        <w:t xml:space="preserve"> </w:t>
      </w:r>
      <w:proofErr w:type="gramStart"/>
      <w:r w:rsidR="00B52272">
        <w:rPr>
          <w:rFonts w:eastAsia="Times New Roman"/>
          <w:b/>
          <w:bCs/>
        </w:rPr>
        <w:t>3.</w:t>
      </w:r>
      <w:r w:rsidR="00B52272">
        <w:rPr>
          <w:rFonts w:eastAsia="Times New Roman"/>
          <w:b/>
          <w:bCs/>
        </w:rPr>
        <w:t xml:space="preserve">3.2 </w:t>
      </w:r>
      <w:r w:rsidR="005B7B60">
        <w:rPr>
          <w:rFonts w:eastAsia="Times New Roman"/>
          <w:b/>
          <w:bCs/>
        </w:rPr>
        <w:t xml:space="preserve"> </w:t>
      </w:r>
      <w:r w:rsidR="00035278" w:rsidRPr="0032208A">
        <w:rPr>
          <w:rFonts w:eastAsia="Times New Roman"/>
          <w:b/>
          <w:bCs/>
        </w:rPr>
        <w:t>CVI</w:t>
      </w:r>
      <w:proofErr w:type="gramEnd"/>
      <w:r w:rsidR="00035278" w:rsidRPr="0032208A">
        <w:rPr>
          <w:rFonts w:eastAsia="Times New Roman"/>
          <w:b/>
          <w:bCs/>
        </w:rPr>
        <w:t xml:space="preserve"> Consultant Client Referrals to Other CVI Employees/Contractors</w:t>
      </w:r>
    </w:p>
    <w:p w:rsidR="003B796D" w:rsidRPr="00B52272" w:rsidRDefault="00035278" w:rsidP="006F3836">
      <w:pPr>
        <w:rPr>
          <w:bCs/>
        </w:rPr>
      </w:pPr>
      <w:r>
        <w:t>Any situation where a CVI Consultant might profit or be seen to profit from his/her “relationship” with CVI would be deemed a conflict of interest</w:t>
      </w:r>
      <w:r w:rsidR="00C4026D">
        <w:t>.</w:t>
      </w:r>
      <w:r>
        <w:t xml:space="preserve"> From an ethical perspective, therefore, it is viewed that referral of clients initially seen via </w:t>
      </w:r>
      <w:r w:rsidR="00C4026D">
        <w:t>CVI EAP services to the private practices of other CVI Consultants</w:t>
      </w:r>
      <w:r>
        <w:t xml:space="preserve"> is unacceptable practice</w:t>
      </w:r>
      <w:r w:rsidR="00B52272">
        <w:rPr>
          <w:bCs/>
        </w:rPr>
        <w:t xml:space="preserve">3.3 </w:t>
      </w:r>
      <w:r w:rsidR="004A43D8" w:rsidRPr="00B52272">
        <w:rPr>
          <w:bCs/>
        </w:rPr>
        <w:t>Consultants in an onsite role with any CVI client organisation must not provide private practice services to employees of that company for the duration of their onsite contract.</w:t>
      </w:r>
    </w:p>
    <w:p w:rsidR="003B796D" w:rsidRDefault="003B796D" w:rsidP="003B796D">
      <w:pPr>
        <w:pStyle w:val="ListParagraph"/>
        <w:rPr>
          <w:bCs/>
        </w:rPr>
      </w:pPr>
    </w:p>
    <w:p w:rsidR="009536F6" w:rsidRPr="006F3836" w:rsidRDefault="009536F6" w:rsidP="006F3836">
      <w:pPr>
        <w:rPr>
          <w:b/>
        </w:rPr>
      </w:pPr>
      <w:r w:rsidRPr="006F3836">
        <w:rPr>
          <w:b/>
        </w:rPr>
        <w:t>CVI Internal Transfer of Clients</w:t>
      </w:r>
    </w:p>
    <w:p w:rsidR="009D0706" w:rsidRDefault="002C0F9C" w:rsidP="002C0F9C">
      <w:r>
        <w:rPr>
          <w:b/>
        </w:rPr>
        <w:t>Continuity of care over any one discrete allocation of sessions is provided with the same Consultant where possible. It is recognised that due to unforeseen circumstances and/or ethical issues, internal referral of clients to a new Consultant may be necessary or warranted.</w:t>
      </w:r>
      <w:r w:rsidR="00DF3749">
        <w:rPr>
          <w:b/>
        </w:rPr>
        <w:t xml:space="preserve"> </w:t>
      </w:r>
      <w:r w:rsidR="00DF3749">
        <w:t>Where</w:t>
      </w:r>
      <w:r w:rsidR="009D0706">
        <w:t>;</w:t>
      </w:r>
    </w:p>
    <w:p w:rsidR="009D0706" w:rsidRDefault="00DF3749" w:rsidP="009D0706">
      <w:pPr>
        <w:pStyle w:val="ListParagraph"/>
        <w:numPr>
          <w:ilvl w:val="0"/>
          <w:numId w:val="27"/>
        </w:numPr>
      </w:pPr>
      <w:r>
        <w:t xml:space="preserve">personal circumstances, </w:t>
      </w:r>
    </w:p>
    <w:p w:rsidR="009D0706" w:rsidRDefault="00DF3749" w:rsidP="009D0706">
      <w:pPr>
        <w:pStyle w:val="ListParagraph"/>
        <w:numPr>
          <w:ilvl w:val="0"/>
          <w:numId w:val="27"/>
        </w:numPr>
      </w:pPr>
      <w:r>
        <w:t>the need for specialist services</w:t>
      </w:r>
      <w:r w:rsidR="008B5740">
        <w:t>,</w:t>
      </w:r>
    </w:p>
    <w:p w:rsidR="009D0706" w:rsidRDefault="009D0706" w:rsidP="009D0706">
      <w:pPr>
        <w:pStyle w:val="ListParagraph"/>
        <w:numPr>
          <w:ilvl w:val="0"/>
          <w:numId w:val="27"/>
        </w:numPr>
      </w:pPr>
      <w:r>
        <w:t>issues of</w:t>
      </w:r>
      <w:r w:rsidR="008B5740">
        <w:t xml:space="preserve"> consultant availability </w:t>
      </w:r>
      <w:r w:rsidR="00DF3749">
        <w:t xml:space="preserve"> or </w:t>
      </w:r>
    </w:p>
    <w:p w:rsidR="009D0706" w:rsidRDefault="00DF3749" w:rsidP="009D0706">
      <w:pPr>
        <w:pStyle w:val="ListParagraph"/>
        <w:numPr>
          <w:ilvl w:val="0"/>
          <w:numId w:val="27"/>
        </w:numPr>
      </w:pPr>
      <w:r>
        <w:t xml:space="preserve">an identified “conflict of interest” </w:t>
      </w:r>
    </w:p>
    <w:p w:rsidR="002C0F9C" w:rsidRDefault="00DF3749" w:rsidP="009D0706">
      <w:r>
        <w:t xml:space="preserve">may require a client to be internally </w:t>
      </w:r>
      <w:r w:rsidR="009D0706">
        <w:t>transitioned,</w:t>
      </w:r>
      <w:r>
        <w:t xml:space="preserve"> Consultants must contact their Operations Manager or Supervisor to discuss. If internal transfer is deemed </w:t>
      </w:r>
      <w:r w:rsidR="003024C2">
        <w:t>necessary,</w:t>
      </w:r>
      <w:r>
        <w:t xml:space="preserve"> the Consultant will contact Client Services who will facilitate the process including the transition of notes where the client</w:t>
      </w:r>
      <w:r w:rsidR="009D0706">
        <w:t xml:space="preserve"> consent is provided.</w:t>
      </w:r>
    </w:p>
    <w:p w:rsidR="00DF3749" w:rsidRPr="00DF3749" w:rsidRDefault="00DF3749" w:rsidP="002C0F9C">
      <w:pPr>
        <w:rPr>
          <w:b/>
        </w:rPr>
      </w:pPr>
      <w:r w:rsidRPr="00DF3749">
        <w:rPr>
          <w:b/>
        </w:rPr>
        <w:t>NB: For CS scripting for internal referral please see Appendix Two</w:t>
      </w:r>
    </w:p>
    <w:p w:rsidR="009536F6" w:rsidRPr="009536F6" w:rsidRDefault="009536F6" w:rsidP="009536F6">
      <w:pPr>
        <w:rPr>
          <w:b/>
        </w:rPr>
      </w:pPr>
    </w:p>
    <w:p w:rsidR="00DE0D41" w:rsidRDefault="00DE0D41" w:rsidP="00ED6954">
      <w:pPr>
        <w:pStyle w:val="ListParagraph"/>
        <w:numPr>
          <w:ilvl w:val="0"/>
          <w:numId w:val="17"/>
        </w:numPr>
        <w:rPr>
          <w:b/>
        </w:rPr>
      </w:pPr>
      <w:r w:rsidRPr="00ED6954">
        <w:rPr>
          <w:b/>
        </w:rPr>
        <w:t xml:space="preserve">CVI Private Fee </w:t>
      </w:r>
      <w:r w:rsidR="00285843" w:rsidRPr="00ED6954">
        <w:rPr>
          <w:b/>
        </w:rPr>
        <w:t>for</w:t>
      </w:r>
      <w:r w:rsidRPr="00ED6954">
        <w:rPr>
          <w:b/>
        </w:rPr>
        <w:t xml:space="preserve"> Service</w:t>
      </w:r>
      <w:r w:rsidR="00612D1B">
        <w:rPr>
          <w:b/>
        </w:rPr>
        <w:t xml:space="preserve"> (PFFS)</w:t>
      </w:r>
    </w:p>
    <w:p w:rsidR="00ED6954" w:rsidRDefault="00ED6954" w:rsidP="00ED6954">
      <w:pPr>
        <w:rPr>
          <w:b/>
        </w:rPr>
      </w:pPr>
    </w:p>
    <w:p w:rsidR="00ED6954" w:rsidRPr="00ED6954" w:rsidRDefault="00ED6954" w:rsidP="00ED6954">
      <w:r>
        <w:t xml:space="preserve">The CVI Private Fee for Service option is designed to provide </w:t>
      </w:r>
      <w:r w:rsidR="009C138F">
        <w:t xml:space="preserve">clients with an opportunity to extend service with their “in house” Consultant </w:t>
      </w:r>
      <w:r w:rsidR="009C138F" w:rsidRPr="00612D1B">
        <w:rPr>
          <w:b/>
        </w:rPr>
        <w:t>for a short period of time</w:t>
      </w:r>
      <w:r w:rsidR="008F468F">
        <w:t xml:space="preserve"> </w:t>
      </w:r>
      <w:r w:rsidR="00612D1B">
        <w:t xml:space="preserve">(max. 6 sessions) </w:t>
      </w:r>
      <w:r w:rsidR="008F468F">
        <w:t xml:space="preserve">where the presentation </w:t>
      </w:r>
      <w:r w:rsidR="00B337A8">
        <w:t>does not involve workplace conflict or processes</w:t>
      </w:r>
      <w:r w:rsidR="00B81F0A">
        <w:t xml:space="preserve"> </w:t>
      </w:r>
      <w:r w:rsidR="00ED0AB1">
        <w:t xml:space="preserve">AND </w:t>
      </w:r>
      <w:r w:rsidR="00B81F0A">
        <w:t>the Consultant is comfortable in offering slightly longer interventions</w:t>
      </w:r>
      <w:r w:rsidR="00B337A8">
        <w:t>.</w:t>
      </w:r>
      <w:r w:rsidR="009C138F">
        <w:t xml:space="preserve"> This option can be presented (in conjunction with other</w:t>
      </w:r>
      <w:r w:rsidR="00612D1B">
        <w:t xml:space="preserve"> external</w:t>
      </w:r>
      <w:r w:rsidR="009C138F">
        <w:t xml:space="preserve"> options)</w:t>
      </w:r>
      <w:r w:rsidR="00ED0AB1">
        <w:t>,</w:t>
      </w:r>
      <w:r w:rsidR="009C138F">
        <w:t xml:space="preserve"> where it is believed that a small number of sessions may assist in </w:t>
      </w:r>
      <w:r w:rsidR="008F468F">
        <w:t>finalising an intervention AND an “extra sessions” request is believed contrary to CVI</w:t>
      </w:r>
      <w:r w:rsidR="00ED0AB1">
        <w:t xml:space="preserve"> policy</w:t>
      </w:r>
      <w:r w:rsidR="008F468F">
        <w:t>.</w:t>
      </w:r>
    </w:p>
    <w:p w:rsidR="00DE0D41" w:rsidRPr="0089592F" w:rsidRDefault="00DE0D41" w:rsidP="00DE0D41">
      <w:pPr>
        <w:rPr>
          <w:rFonts w:eastAsia="Times New Roman"/>
          <w:b/>
        </w:rPr>
      </w:pPr>
      <w:r w:rsidRPr="0089592F">
        <w:rPr>
          <w:rFonts w:eastAsia="Times New Roman"/>
          <w:b/>
        </w:rPr>
        <w:t xml:space="preserve"> Employees and Contractors are requested to alert CVI (National Professional Practices Supervisor or </w:t>
      </w:r>
      <w:r w:rsidR="00612D1B">
        <w:rPr>
          <w:rFonts w:eastAsia="Times New Roman"/>
          <w:b/>
        </w:rPr>
        <w:t>relevant state-based Operations Manager</w:t>
      </w:r>
      <w:r w:rsidRPr="0089592F">
        <w:rPr>
          <w:rFonts w:eastAsia="Times New Roman"/>
          <w:b/>
        </w:rPr>
        <w:t xml:space="preserve">) in every instance, </w:t>
      </w:r>
      <w:r w:rsidR="00612D1B">
        <w:rPr>
          <w:rFonts w:eastAsia="Times New Roman"/>
          <w:b/>
        </w:rPr>
        <w:t>prior t</w:t>
      </w:r>
      <w:r w:rsidR="00F50445">
        <w:rPr>
          <w:rFonts w:eastAsia="Times New Roman"/>
          <w:b/>
        </w:rPr>
        <w:t>o</w:t>
      </w:r>
      <w:r w:rsidR="00612D1B">
        <w:rPr>
          <w:rFonts w:eastAsia="Times New Roman"/>
          <w:b/>
        </w:rPr>
        <w:t xml:space="preserve"> </w:t>
      </w:r>
      <w:r w:rsidRPr="0089592F">
        <w:rPr>
          <w:rFonts w:eastAsia="Times New Roman"/>
          <w:b/>
          <w:spacing w:val="-33"/>
        </w:rPr>
        <w:t xml:space="preserve"> </w:t>
      </w:r>
      <w:r w:rsidRPr="0089592F">
        <w:rPr>
          <w:rFonts w:eastAsia="Times New Roman"/>
          <w:b/>
        </w:rPr>
        <w:t xml:space="preserve">a </w:t>
      </w:r>
      <w:r w:rsidRPr="0089592F">
        <w:rPr>
          <w:rFonts w:eastAsia="Times New Roman"/>
          <w:b/>
          <w:spacing w:val="-2"/>
        </w:rPr>
        <w:t>Client</w:t>
      </w:r>
      <w:r w:rsidRPr="0089592F">
        <w:rPr>
          <w:rFonts w:eastAsia="Times New Roman"/>
          <w:b/>
        </w:rPr>
        <w:t xml:space="preserve"> </w:t>
      </w:r>
      <w:r w:rsidRPr="0089592F">
        <w:rPr>
          <w:rFonts w:eastAsia="Times New Roman"/>
          <w:b/>
          <w:spacing w:val="-1"/>
        </w:rPr>
        <w:t>being</w:t>
      </w:r>
      <w:r w:rsidRPr="0089592F">
        <w:rPr>
          <w:rFonts w:eastAsia="Times New Roman"/>
          <w:b/>
        </w:rPr>
        <w:t xml:space="preserve"> </w:t>
      </w:r>
      <w:r w:rsidRPr="0089592F">
        <w:rPr>
          <w:rFonts w:eastAsia="Times New Roman"/>
          <w:b/>
          <w:spacing w:val="-2"/>
        </w:rPr>
        <w:t>transferred</w:t>
      </w:r>
      <w:r w:rsidRPr="0089592F">
        <w:rPr>
          <w:rFonts w:eastAsia="Times New Roman"/>
          <w:b/>
        </w:rPr>
        <w:t xml:space="preserve"> </w:t>
      </w:r>
      <w:r w:rsidRPr="0089592F">
        <w:rPr>
          <w:rFonts w:eastAsia="Times New Roman"/>
          <w:b/>
          <w:spacing w:val="-2"/>
        </w:rPr>
        <w:t>to</w:t>
      </w:r>
      <w:r w:rsidRPr="0089592F">
        <w:rPr>
          <w:rFonts w:eastAsia="Times New Roman"/>
          <w:b/>
        </w:rPr>
        <w:t xml:space="preserve"> a fee-for-service</w:t>
      </w:r>
      <w:r w:rsidRPr="0089592F">
        <w:rPr>
          <w:rFonts w:eastAsia="Times New Roman"/>
          <w:b/>
          <w:w w:val="72"/>
        </w:rPr>
        <w:t xml:space="preserve"> </w:t>
      </w:r>
      <w:r w:rsidRPr="0089592F">
        <w:rPr>
          <w:rFonts w:eastAsia="Times New Roman"/>
          <w:b/>
          <w:spacing w:val="-1"/>
        </w:rPr>
        <w:t>CVI</w:t>
      </w:r>
      <w:r w:rsidRPr="0089592F">
        <w:rPr>
          <w:rFonts w:eastAsia="Times New Roman"/>
          <w:b/>
        </w:rPr>
        <w:t xml:space="preserve"> </w:t>
      </w:r>
      <w:r w:rsidRPr="0089592F">
        <w:rPr>
          <w:rFonts w:eastAsia="Times New Roman"/>
          <w:b/>
          <w:spacing w:val="-1"/>
        </w:rPr>
        <w:t>arrangement</w:t>
      </w:r>
      <w:r w:rsidR="00A0446A">
        <w:rPr>
          <w:rFonts w:eastAsia="Times New Roman"/>
          <w:b/>
          <w:spacing w:val="-1"/>
        </w:rPr>
        <w:t>,</w:t>
      </w:r>
      <w:r w:rsidRPr="0089592F">
        <w:rPr>
          <w:rFonts w:eastAsia="Times New Roman"/>
          <w:b/>
        </w:rPr>
        <w:t xml:space="preserve"> </w:t>
      </w:r>
      <w:r w:rsidRPr="0089592F">
        <w:rPr>
          <w:rFonts w:eastAsia="Times New Roman"/>
          <w:b/>
          <w:spacing w:val="-2"/>
        </w:rPr>
        <w:t>to</w:t>
      </w:r>
      <w:r w:rsidRPr="0089592F">
        <w:rPr>
          <w:rFonts w:eastAsia="Times New Roman"/>
          <w:b/>
        </w:rPr>
        <w:t xml:space="preserve"> </w:t>
      </w:r>
      <w:r w:rsidRPr="0089592F">
        <w:rPr>
          <w:rFonts w:eastAsia="Times New Roman"/>
          <w:b/>
          <w:spacing w:val="-1"/>
        </w:rPr>
        <w:t>ensure</w:t>
      </w:r>
      <w:r w:rsidRPr="0089592F">
        <w:rPr>
          <w:rFonts w:eastAsia="Times New Roman"/>
          <w:b/>
        </w:rPr>
        <w:t xml:space="preserve"> the </w:t>
      </w:r>
      <w:r w:rsidRPr="0089592F">
        <w:rPr>
          <w:rFonts w:eastAsia="Times New Roman"/>
          <w:b/>
          <w:spacing w:val="-2"/>
        </w:rPr>
        <w:t>transfer</w:t>
      </w:r>
      <w:r w:rsidRPr="0089592F">
        <w:rPr>
          <w:rFonts w:eastAsia="Times New Roman"/>
          <w:b/>
        </w:rPr>
        <w:t xml:space="preserve"> </w:t>
      </w:r>
      <w:r w:rsidRPr="0089592F">
        <w:rPr>
          <w:rFonts w:eastAsia="Times New Roman"/>
          <w:b/>
          <w:spacing w:val="-1"/>
        </w:rPr>
        <w:t xml:space="preserve">is </w:t>
      </w:r>
      <w:r w:rsidRPr="0089592F">
        <w:rPr>
          <w:rFonts w:eastAsia="Times New Roman"/>
          <w:b/>
        </w:rPr>
        <w:t>appropriate and not related to any work place</w:t>
      </w:r>
      <w:r w:rsidRPr="0089592F">
        <w:rPr>
          <w:rFonts w:eastAsia="Times New Roman"/>
          <w:b/>
          <w:spacing w:val="-11"/>
        </w:rPr>
        <w:t xml:space="preserve"> </w:t>
      </w:r>
      <w:r w:rsidRPr="0089592F">
        <w:rPr>
          <w:rFonts w:eastAsia="Times New Roman"/>
          <w:b/>
          <w:spacing w:val="-5"/>
        </w:rPr>
        <w:t>matter.</w:t>
      </w:r>
    </w:p>
    <w:p w:rsidR="00F9508E" w:rsidRPr="006F3836" w:rsidRDefault="00DE0D41" w:rsidP="00DE0D41">
      <w:pPr>
        <w:rPr>
          <w:rFonts w:eastAsia="Times New Roman"/>
          <w:u w:val="single"/>
        </w:rPr>
      </w:pPr>
      <w:r w:rsidRPr="001E24D9">
        <w:t>A</w:t>
      </w:r>
      <w:r w:rsidRPr="001E24D9">
        <w:rPr>
          <w:spacing w:val="-4"/>
        </w:rPr>
        <w:t xml:space="preserve"> </w:t>
      </w:r>
      <w:r w:rsidRPr="001E24D9">
        <w:t>case</w:t>
      </w:r>
      <w:r w:rsidRPr="001E24D9">
        <w:rPr>
          <w:spacing w:val="-4"/>
        </w:rPr>
        <w:t xml:space="preserve"> </w:t>
      </w:r>
      <w:r w:rsidRPr="001E24D9">
        <w:t>review</w:t>
      </w:r>
      <w:r w:rsidRPr="001E24D9">
        <w:rPr>
          <w:spacing w:val="-4"/>
        </w:rPr>
        <w:t xml:space="preserve"> </w:t>
      </w:r>
      <w:r w:rsidRPr="001E24D9">
        <w:t>will</w:t>
      </w:r>
      <w:r w:rsidRPr="001E24D9">
        <w:rPr>
          <w:spacing w:val="-5"/>
        </w:rPr>
        <w:t xml:space="preserve"> </w:t>
      </w:r>
      <w:r w:rsidRPr="001E24D9">
        <w:t>determine</w:t>
      </w:r>
      <w:r w:rsidRPr="001E24D9">
        <w:rPr>
          <w:spacing w:val="-5"/>
        </w:rPr>
        <w:t xml:space="preserve"> </w:t>
      </w:r>
      <w:r w:rsidRPr="001E24D9">
        <w:t>the</w:t>
      </w:r>
      <w:r w:rsidRPr="001E24D9">
        <w:rPr>
          <w:spacing w:val="-5"/>
        </w:rPr>
        <w:t xml:space="preserve"> </w:t>
      </w:r>
      <w:r w:rsidRPr="001E24D9">
        <w:t>appropriateness</w:t>
      </w:r>
      <w:r w:rsidRPr="001E24D9">
        <w:rPr>
          <w:spacing w:val="-5"/>
        </w:rPr>
        <w:t xml:space="preserve"> </w:t>
      </w:r>
      <w:r w:rsidRPr="001E24D9">
        <w:t>and</w:t>
      </w:r>
      <w:r w:rsidRPr="001E24D9">
        <w:rPr>
          <w:spacing w:val="-5"/>
        </w:rPr>
        <w:t xml:space="preserve"> </w:t>
      </w:r>
      <w:r w:rsidRPr="001E24D9">
        <w:t>a</w:t>
      </w:r>
      <w:r w:rsidRPr="001E24D9">
        <w:rPr>
          <w:spacing w:val="-4"/>
        </w:rPr>
        <w:t xml:space="preserve"> </w:t>
      </w:r>
      <w:r w:rsidRPr="001E24D9">
        <w:t>case</w:t>
      </w:r>
      <w:r w:rsidRPr="001E24D9">
        <w:rPr>
          <w:spacing w:val="-4"/>
        </w:rPr>
        <w:t xml:space="preserve"> </w:t>
      </w:r>
      <w:r w:rsidRPr="001E24D9">
        <w:t>note</w:t>
      </w:r>
      <w:r w:rsidRPr="001E24D9">
        <w:rPr>
          <w:spacing w:val="-4"/>
        </w:rPr>
        <w:t xml:space="preserve"> </w:t>
      </w:r>
      <w:r w:rsidRPr="001E24D9">
        <w:t>is</w:t>
      </w:r>
      <w:r w:rsidRPr="001E24D9">
        <w:rPr>
          <w:spacing w:val="-4"/>
        </w:rPr>
        <w:t xml:space="preserve"> </w:t>
      </w:r>
      <w:r w:rsidRPr="001E24D9">
        <w:t>made</w:t>
      </w:r>
      <w:r w:rsidRPr="001E24D9">
        <w:rPr>
          <w:spacing w:val="-5"/>
        </w:rPr>
        <w:t xml:space="preserve"> </w:t>
      </w:r>
      <w:r w:rsidRPr="001E24D9">
        <w:t>on</w:t>
      </w:r>
      <w:r w:rsidRPr="001E24D9">
        <w:rPr>
          <w:spacing w:val="-5"/>
        </w:rPr>
        <w:t xml:space="preserve"> </w:t>
      </w:r>
      <w:r w:rsidRPr="001E24D9">
        <w:t>EAP</w:t>
      </w:r>
      <w:r w:rsidRPr="001E24D9">
        <w:rPr>
          <w:spacing w:val="-4"/>
        </w:rPr>
        <w:t xml:space="preserve"> </w:t>
      </w:r>
      <w:r w:rsidRPr="001E24D9">
        <w:t>Exec.</w:t>
      </w:r>
      <w:r w:rsidRPr="001E24D9">
        <w:rPr>
          <w:spacing w:val="-5"/>
        </w:rPr>
        <w:t xml:space="preserve"> </w:t>
      </w:r>
      <w:r w:rsidRPr="001E24D9">
        <w:t xml:space="preserve">Where </w:t>
      </w:r>
      <w:r w:rsidRPr="001E24D9">
        <w:rPr>
          <w:spacing w:val="-3"/>
        </w:rPr>
        <w:t xml:space="preserve">necessary, </w:t>
      </w:r>
      <w:r w:rsidRPr="001E24D9">
        <w:t>the Client Relationship Manager (CRM) may become involved where approval from the</w:t>
      </w:r>
      <w:r w:rsidRPr="001E24D9">
        <w:rPr>
          <w:spacing w:val="-8"/>
        </w:rPr>
        <w:t xml:space="preserve"> </w:t>
      </w:r>
      <w:r w:rsidRPr="001E24D9">
        <w:t>Customer</w:t>
      </w:r>
      <w:r w:rsidRPr="001E24D9">
        <w:rPr>
          <w:spacing w:val="-7"/>
        </w:rPr>
        <w:t xml:space="preserve"> </w:t>
      </w:r>
      <w:r w:rsidRPr="001E24D9">
        <w:t>may</w:t>
      </w:r>
      <w:r w:rsidR="00612D1B">
        <w:t xml:space="preserve"> need to </w:t>
      </w:r>
      <w:r w:rsidRPr="001E24D9">
        <w:t>be</w:t>
      </w:r>
      <w:r w:rsidRPr="001E24D9">
        <w:rPr>
          <w:spacing w:val="-8"/>
        </w:rPr>
        <w:t xml:space="preserve"> </w:t>
      </w:r>
      <w:r w:rsidRPr="001E24D9">
        <w:t>sought</w:t>
      </w:r>
      <w:r w:rsidRPr="001E24D9">
        <w:rPr>
          <w:spacing w:val="-7"/>
        </w:rPr>
        <w:t xml:space="preserve"> </w:t>
      </w:r>
      <w:r w:rsidRPr="001E24D9">
        <w:t>before</w:t>
      </w:r>
      <w:r w:rsidRPr="001E24D9">
        <w:rPr>
          <w:spacing w:val="-7"/>
        </w:rPr>
        <w:t xml:space="preserve"> </w:t>
      </w:r>
      <w:r w:rsidRPr="001E24D9">
        <w:t>the</w:t>
      </w:r>
      <w:r w:rsidRPr="001E24D9">
        <w:rPr>
          <w:spacing w:val="-8"/>
        </w:rPr>
        <w:t xml:space="preserve"> </w:t>
      </w:r>
      <w:r w:rsidRPr="001E24D9">
        <w:t>referral</w:t>
      </w:r>
      <w:r w:rsidRPr="001E24D9">
        <w:rPr>
          <w:spacing w:val="-8"/>
        </w:rPr>
        <w:t xml:space="preserve"> </w:t>
      </w:r>
      <w:r w:rsidRPr="001E24D9">
        <w:t>is</w:t>
      </w:r>
      <w:r w:rsidRPr="001E24D9">
        <w:rPr>
          <w:spacing w:val="-7"/>
        </w:rPr>
        <w:t xml:space="preserve"> </w:t>
      </w:r>
      <w:r w:rsidRPr="001E24D9">
        <w:t>approved.</w:t>
      </w:r>
      <w:r w:rsidR="008B5740">
        <w:t xml:space="preserve"> </w:t>
      </w:r>
    </w:p>
    <w:p w:rsidR="00DE0D41" w:rsidRPr="001E24D9" w:rsidRDefault="00DE0D41" w:rsidP="00DE0D41">
      <w:pPr>
        <w:rPr>
          <w:rFonts w:eastAsia="Times New Roman"/>
        </w:rPr>
      </w:pPr>
      <w:r w:rsidRPr="001E24D9">
        <w:rPr>
          <w:rFonts w:eastAsia="Times New Roman"/>
        </w:rPr>
        <w:t>Once</w:t>
      </w:r>
      <w:r w:rsidRPr="001E24D9">
        <w:rPr>
          <w:rFonts w:eastAsia="Times New Roman"/>
          <w:spacing w:val="-4"/>
        </w:rPr>
        <w:t xml:space="preserve"> </w:t>
      </w:r>
      <w:r w:rsidRPr="001E24D9">
        <w:rPr>
          <w:rFonts w:eastAsia="Times New Roman"/>
        </w:rPr>
        <w:t>the</w:t>
      </w:r>
      <w:r w:rsidRPr="001E24D9">
        <w:rPr>
          <w:rFonts w:eastAsia="Times New Roman"/>
          <w:spacing w:val="-5"/>
        </w:rPr>
        <w:t xml:space="preserve"> </w:t>
      </w:r>
      <w:r w:rsidRPr="001E24D9">
        <w:rPr>
          <w:rFonts w:eastAsia="Times New Roman"/>
        </w:rPr>
        <w:t>Consultant</w:t>
      </w:r>
      <w:r w:rsidRPr="001E24D9">
        <w:rPr>
          <w:rFonts w:eastAsia="Times New Roman"/>
          <w:spacing w:val="-4"/>
        </w:rPr>
        <w:t xml:space="preserve"> </w:t>
      </w:r>
      <w:r w:rsidRPr="001E24D9">
        <w:rPr>
          <w:rFonts w:eastAsia="Times New Roman"/>
        </w:rPr>
        <w:t>has</w:t>
      </w:r>
      <w:r w:rsidRPr="001E24D9">
        <w:rPr>
          <w:rFonts w:eastAsia="Times New Roman"/>
          <w:spacing w:val="-4"/>
        </w:rPr>
        <w:t xml:space="preserve"> </w:t>
      </w:r>
      <w:r w:rsidRPr="001E24D9">
        <w:rPr>
          <w:rFonts w:eastAsia="Times New Roman"/>
        </w:rPr>
        <w:t>satisﬁe</w:t>
      </w:r>
      <w:r w:rsidR="00F50445">
        <w:rPr>
          <w:rFonts w:eastAsia="Times New Roman"/>
        </w:rPr>
        <w:t>d</w:t>
      </w:r>
      <w:r w:rsidRPr="001E24D9">
        <w:rPr>
          <w:rFonts w:eastAsia="Times New Roman"/>
          <w:spacing w:val="-4"/>
        </w:rPr>
        <w:t xml:space="preserve"> </w:t>
      </w:r>
      <w:r w:rsidRPr="001E24D9">
        <w:rPr>
          <w:rFonts w:eastAsia="Times New Roman"/>
        </w:rPr>
        <w:t>the</w:t>
      </w:r>
      <w:r w:rsidR="00F50445">
        <w:rPr>
          <w:rFonts w:eastAsia="Times New Roman"/>
        </w:rPr>
        <w:t xml:space="preserve"> above policy/procedures</w:t>
      </w:r>
      <w:r w:rsidRPr="001E24D9">
        <w:rPr>
          <w:rFonts w:eastAsia="Times New Roman"/>
        </w:rPr>
        <w:t xml:space="preserve">, the Consultant is to contact Client Services who will assist in transferring the EAP </w:t>
      </w:r>
      <w:r w:rsidRPr="001E24D9">
        <w:rPr>
          <w:rFonts w:eastAsia="Times New Roman"/>
          <w:spacing w:val="-2"/>
        </w:rPr>
        <w:t>Client</w:t>
      </w:r>
      <w:r w:rsidRPr="001E24D9">
        <w:rPr>
          <w:rFonts w:eastAsia="Times New Roman"/>
        </w:rPr>
        <w:t xml:space="preserve"> </w:t>
      </w:r>
      <w:r w:rsidRPr="001E24D9">
        <w:rPr>
          <w:rFonts w:eastAsia="Times New Roman"/>
          <w:spacing w:val="-2"/>
        </w:rPr>
        <w:t>into</w:t>
      </w:r>
      <w:r w:rsidRPr="001E24D9">
        <w:rPr>
          <w:rFonts w:eastAsia="Times New Roman"/>
        </w:rPr>
        <w:t xml:space="preserve"> a </w:t>
      </w:r>
      <w:r w:rsidRPr="001E24D9">
        <w:rPr>
          <w:rFonts w:eastAsia="Times New Roman"/>
          <w:spacing w:val="-2"/>
        </w:rPr>
        <w:t>Private</w:t>
      </w:r>
      <w:r w:rsidRPr="001E24D9">
        <w:rPr>
          <w:rFonts w:eastAsia="Times New Roman"/>
        </w:rPr>
        <w:t xml:space="preserve"> </w:t>
      </w:r>
      <w:r w:rsidRPr="001E24D9">
        <w:rPr>
          <w:rFonts w:eastAsia="Times New Roman"/>
          <w:spacing w:val="-2"/>
        </w:rPr>
        <w:t>Client (fee-for-service)</w:t>
      </w:r>
      <w:r w:rsidRPr="001E24D9">
        <w:rPr>
          <w:rFonts w:eastAsia="Times New Roman"/>
          <w:w w:val="76"/>
        </w:rPr>
        <w:t xml:space="preserve"> </w:t>
      </w:r>
      <w:r w:rsidRPr="001E24D9">
        <w:rPr>
          <w:rFonts w:eastAsia="Times New Roman"/>
          <w:spacing w:val="-1"/>
        </w:rPr>
        <w:t>arrangement</w:t>
      </w:r>
      <w:r w:rsidRPr="001E24D9">
        <w:rPr>
          <w:rFonts w:eastAsia="Times New Roman"/>
        </w:rPr>
        <w:t xml:space="preserve"> </w:t>
      </w:r>
      <w:proofErr w:type="gramStart"/>
      <w:r w:rsidRPr="001E24D9">
        <w:rPr>
          <w:rFonts w:eastAsia="Times New Roman"/>
          <w:spacing w:val="-1"/>
        </w:rPr>
        <w:t>on</w:t>
      </w:r>
      <w:r w:rsidRPr="001E24D9">
        <w:rPr>
          <w:rFonts w:eastAsia="Times New Roman"/>
        </w:rPr>
        <w:t xml:space="preserve"> </w:t>
      </w:r>
      <w:r w:rsidR="009F5869">
        <w:rPr>
          <w:rFonts w:eastAsia="Times New Roman"/>
          <w:spacing w:val="-2"/>
        </w:rPr>
        <w:t xml:space="preserve"> the</w:t>
      </w:r>
      <w:proofErr w:type="gramEnd"/>
      <w:r w:rsidR="009F5869">
        <w:rPr>
          <w:rFonts w:eastAsia="Times New Roman"/>
          <w:spacing w:val="-2"/>
        </w:rPr>
        <w:t xml:space="preserve"> relevant administrative system</w:t>
      </w:r>
      <w:r w:rsidRPr="001E24D9">
        <w:rPr>
          <w:rFonts w:eastAsia="Times New Roman"/>
          <w:spacing w:val="-2"/>
        </w:rPr>
        <w:t>.</w:t>
      </w:r>
    </w:p>
    <w:p w:rsidR="00DE0D41" w:rsidRDefault="00DE0D41" w:rsidP="00DE0D41">
      <w:pPr>
        <w:rPr>
          <w:rFonts w:eastAsia="Times New Roman"/>
        </w:rPr>
      </w:pPr>
      <w:r w:rsidRPr="001E24D9">
        <w:rPr>
          <w:rFonts w:eastAsia="Times New Roman"/>
        </w:rPr>
        <w:t>A</w:t>
      </w:r>
      <w:r w:rsidRPr="001E24D9">
        <w:rPr>
          <w:rFonts w:eastAsia="Times New Roman"/>
          <w:spacing w:val="-4"/>
        </w:rPr>
        <w:t xml:space="preserve"> </w:t>
      </w:r>
      <w:r w:rsidRPr="001E24D9">
        <w:rPr>
          <w:rFonts w:eastAsia="Times New Roman"/>
        </w:rPr>
        <w:t>separate</w:t>
      </w:r>
      <w:r w:rsidRPr="001E24D9">
        <w:rPr>
          <w:rFonts w:eastAsia="Times New Roman"/>
          <w:spacing w:val="-4"/>
        </w:rPr>
        <w:t xml:space="preserve"> </w:t>
      </w:r>
      <w:r w:rsidRPr="001E24D9">
        <w:rPr>
          <w:rFonts w:eastAsia="Times New Roman"/>
        </w:rPr>
        <w:t>JN</w:t>
      </w:r>
      <w:r w:rsidRPr="001E24D9">
        <w:rPr>
          <w:rFonts w:eastAsia="Times New Roman"/>
          <w:spacing w:val="-4"/>
        </w:rPr>
        <w:t xml:space="preserve"> </w:t>
      </w:r>
      <w:r w:rsidRPr="001E24D9">
        <w:rPr>
          <w:rFonts w:eastAsia="Times New Roman"/>
        </w:rPr>
        <w:t>and</w:t>
      </w:r>
      <w:r w:rsidRPr="001E24D9">
        <w:rPr>
          <w:rFonts w:eastAsia="Times New Roman"/>
          <w:spacing w:val="-5"/>
        </w:rPr>
        <w:t xml:space="preserve"> </w:t>
      </w:r>
      <w:r w:rsidRPr="001E24D9">
        <w:rPr>
          <w:rFonts w:eastAsia="Times New Roman"/>
        </w:rPr>
        <w:t>payment</w:t>
      </w:r>
      <w:r w:rsidRPr="001E24D9">
        <w:rPr>
          <w:rFonts w:eastAsia="Times New Roman"/>
          <w:spacing w:val="-4"/>
        </w:rPr>
        <w:t xml:space="preserve"> </w:t>
      </w:r>
      <w:r w:rsidRPr="001E24D9">
        <w:rPr>
          <w:rFonts w:eastAsia="Times New Roman"/>
        </w:rPr>
        <w:t>methodology</w:t>
      </w:r>
      <w:r w:rsidRPr="001E24D9">
        <w:rPr>
          <w:rFonts w:eastAsia="Times New Roman"/>
          <w:spacing w:val="-5"/>
        </w:rPr>
        <w:t xml:space="preserve"> </w:t>
      </w:r>
      <w:r w:rsidRPr="001E24D9">
        <w:rPr>
          <w:rFonts w:eastAsia="Times New Roman"/>
        </w:rPr>
        <w:t>will</w:t>
      </w:r>
      <w:r w:rsidRPr="001E24D9">
        <w:rPr>
          <w:rFonts w:eastAsia="Times New Roman"/>
          <w:spacing w:val="-5"/>
        </w:rPr>
        <w:t xml:space="preserve"> </w:t>
      </w:r>
      <w:r w:rsidRPr="001E24D9">
        <w:rPr>
          <w:rFonts w:eastAsia="Times New Roman"/>
        </w:rPr>
        <w:t>be</w:t>
      </w:r>
      <w:r w:rsidRPr="001E24D9">
        <w:rPr>
          <w:rFonts w:eastAsia="Times New Roman"/>
          <w:spacing w:val="-4"/>
        </w:rPr>
        <w:t xml:space="preserve"> </w:t>
      </w:r>
      <w:r w:rsidRPr="001E24D9">
        <w:rPr>
          <w:rFonts w:eastAsia="Times New Roman"/>
        </w:rPr>
        <w:t>provided</w:t>
      </w:r>
      <w:r w:rsidRPr="001E24D9">
        <w:rPr>
          <w:rFonts w:eastAsia="Times New Roman"/>
          <w:spacing w:val="-5"/>
        </w:rPr>
        <w:t xml:space="preserve"> </w:t>
      </w:r>
      <w:r w:rsidRPr="001E24D9">
        <w:rPr>
          <w:rFonts w:eastAsia="Times New Roman"/>
        </w:rPr>
        <w:t>to</w:t>
      </w:r>
      <w:r w:rsidRPr="001E24D9">
        <w:rPr>
          <w:rFonts w:eastAsia="Times New Roman"/>
          <w:spacing w:val="-5"/>
        </w:rPr>
        <w:t xml:space="preserve"> </w:t>
      </w:r>
      <w:r w:rsidRPr="001E24D9">
        <w:rPr>
          <w:rFonts w:eastAsia="Times New Roman"/>
        </w:rPr>
        <w:t>the</w:t>
      </w:r>
      <w:r w:rsidRPr="001E24D9">
        <w:rPr>
          <w:rFonts w:eastAsia="Times New Roman"/>
          <w:spacing w:val="-5"/>
        </w:rPr>
        <w:t xml:space="preserve"> </w:t>
      </w:r>
      <w:r w:rsidRPr="001E24D9">
        <w:rPr>
          <w:rFonts w:eastAsia="Times New Roman"/>
        </w:rPr>
        <w:t>Consultant</w:t>
      </w:r>
      <w:r w:rsidRPr="001E24D9">
        <w:rPr>
          <w:rFonts w:eastAsia="Times New Roman"/>
          <w:spacing w:val="-4"/>
        </w:rPr>
        <w:t xml:space="preserve"> </w:t>
      </w:r>
      <w:r w:rsidRPr="001E24D9">
        <w:rPr>
          <w:rFonts w:eastAsia="Times New Roman"/>
        </w:rPr>
        <w:t>and</w:t>
      </w:r>
      <w:r w:rsidRPr="001E24D9">
        <w:rPr>
          <w:rFonts w:eastAsia="Times New Roman"/>
          <w:spacing w:val="-5"/>
        </w:rPr>
        <w:t xml:space="preserve"> </w:t>
      </w:r>
      <w:r w:rsidRPr="001E24D9">
        <w:rPr>
          <w:rFonts w:eastAsia="Times New Roman"/>
        </w:rPr>
        <w:t>the</w:t>
      </w:r>
      <w:r w:rsidRPr="001E24D9">
        <w:rPr>
          <w:rFonts w:eastAsia="Times New Roman"/>
          <w:spacing w:val="-5"/>
        </w:rPr>
        <w:t xml:space="preserve"> </w:t>
      </w:r>
      <w:r w:rsidRPr="001E24D9">
        <w:rPr>
          <w:rFonts w:eastAsia="Times New Roman"/>
        </w:rPr>
        <w:t>client</w:t>
      </w:r>
      <w:r w:rsidRPr="001E24D9">
        <w:rPr>
          <w:rFonts w:eastAsia="Times New Roman"/>
          <w:spacing w:val="-4"/>
        </w:rPr>
        <w:t xml:space="preserve"> </w:t>
      </w:r>
      <w:r w:rsidRPr="001E24D9">
        <w:rPr>
          <w:rFonts w:eastAsia="Times New Roman"/>
        </w:rPr>
        <w:t>contacted by Client</w:t>
      </w:r>
      <w:r w:rsidRPr="001E24D9">
        <w:rPr>
          <w:rFonts w:eastAsia="Times New Roman"/>
          <w:spacing w:val="-9"/>
        </w:rPr>
        <w:t xml:space="preserve"> </w:t>
      </w:r>
      <w:r w:rsidRPr="001E24D9">
        <w:rPr>
          <w:rFonts w:eastAsia="Times New Roman"/>
        </w:rPr>
        <w:t>Service.</w:t>
      </w:r>
      <w:r w:rsidR="009F5869">
        <w:rPr>
          <w:rFonts w:eastAsia="Times New Roman"/>
        </w:rPr>
        <w:t xml:space="preserve"> The Consultant is to ensure that PFFS </w:t>
      </w:r>
      <w:proofErr w:type="spellStart"/>
      <w:r w:rsidR="009F5869">
        <w:rPr>
          <w:rFonts w:eastAsia="Times New Roman"/>
        </w:rPr>
        <w:t>casenotes</w:t>
      </w:r>
      <w:proofErr w:type="spellEnd"/>
      <w:r w:rsidR="009F5869">
        <w:rPr>
          <w:rFonts w:eastAsia="Times New Roman"/>
        </w:rPr>
        <w:t xml:space="preserve"> are stored under the new JN.</w:t>
      </w:r>
      <w:r w:rsidRPr="001E24D9">
        <w:rPr>
          <w:rFonts w:eastAsia="Times New Roman"/>
        </w:rPr>
        <w:t xml:space="preserve"> </w:t>
      </w:r>
    </w:p>
    <w:p w:rsidR="00932668" w:rsidRDefault="00932668" w:rsidP="00DE0D41"/>
    <w:p w:rsidR="00932668" w:rsidRPr="006F3836" w:rsidRDefault="00192487" w:rsidP="006F3836">
      <w:pPr>
        <w:ind w:left="360"/>
        <w:rPr>
          <w:b/>
        </w:rPr>
      </w:pPr>
      <w:r>
        <w:rPr>
          <w:b/>
        </w:rPr>
        <w:t xml:space="preserve">5. </w:t>
      </w:r>
      <w:r w:rsidR="00932668" w:rsidRPr="006F3836">
        <w:rPr>
          <w:b/>
        </w:rPr>
        <w:t>Associate Referral Guidelines</w:t>
      </w:r>
    </w:p>
    <w:p w:rsidR="00364046" w:rsidRDefault="00932668" w:rsidP="00932668">
      <w:pPr>
        <w:rPr>
          <w:b/>
        </w:rPr>
      </w:pPr>
      <w:r w:rsidRPr="00932668">
        <w:rPr>
          <w:b/>
        </w:rPr>
        <w:t xml:space="preserve">Associates working from their own private practices and servicing CVI Employee and Family Assist clients are able, </w:t>
      </w:r>
      <w:proofErr w:type="gramStart"/>
      <w:r w:rsidRPr="00932668">
        <w:rPr>
          <w:b/>
        </w:rPr>
        <w:t>under  CVI</w:t>
      </w:r>
      <w:proofErr w:type="gramEnd"/>
      <w:r w:rsidRPr="00932668">
        <w:rPr>
          <w:b/>
        </w:rPr>
        <w:t xml:space="preserve"> current policy, to transition clients to their private practice under the following guidelines and procedures AND where no “conflict of interest” exists</w:t>
      </w:r>
      <w:r w:rsidR="00364046">
        <w:rPr>
          <w:b/>
        </w:rPr>
        <w:t>.</w:t>
      </w:r>
    </w:p>
    <w:p w:rsidR="00932668" w:rsidRDefault="0012557E" w:rsidP="00932668">
      <w:r>
        <w:t>5.</w:t>
      </w:r>
      <w:r w:rsidR="00364046" w:rsidRPr="00364046">
        <w:t>1. Associates must offer three referral options (including their own private practice) where regional resources allow. Should a client cho</w:t>
      </w:r>
      <w:r w:rsidR="00364046">
        <w:t>o</w:t>
      </w:r>
      <w:r w:rsidR="00364046" w:rsidRPr="00364046">
        <w:t>se to engage with the Associate in their private practice post EAP services</w:t>
      </w:r>
      <w:r w:rsidR="00192487">
        <w:t>,</w:t>
      </w:r>
      <w:r w:rsidR="00364046" w:rsidRPr="00364046">
        <w:t xml:space="preserve"> they must read and sign a copy of the “Client Transfer Form” to be placed on the client’s EAP file and a copy sent to Client Services</w:t>
      </w:r>
      <w:r w:rsidR="00364046">
        <w:t xml:space="preserve"> notifying CVI of this agreement.</w:t>
      </w:r>
      <w:r w:rsidR="00192487">
        <w:t xml:space="preserve"> (See Appendix Three)</w:t>
      </w:r>
    </w:p>
    <w:p w:rsidR="00364046" w:rsidRPr="006F3836" w:rsidRDefault="0012557E" w:rsidP="00932668">
      <w:pPr>
        <w:rPr>
          <w:highlight w:val="yellow"/>
        </w:rPr>
      </w:pPr>
      <w:r>
        <w:t>5.</w:t>
      </w:r>
      <w:r w:rsidR="00364046">
        <w:t>2 Associates may not refer to any service where</w:t>
      </w:r>
      <w:r w:rsidR="00912C39">
        <w:t xml:space="preserve"> there may be</w:t>
      </w:r>
      <w:r w:rsidR="00364046">
        <w:t xml:space="preserve"> a “conflict of interest</w:t>
      </w:r>
      <w:r w:rsidR="00912C39">
        <w:t>”</w:t>
      </w:r>
      <w:r w:rsidR="00364046">
        <w:t xml:space="preserve"> </w:t>
      </w:r>
      <w:r w:rsidR="00912C39">
        <w:t>in the present or future. A referral</w:t>
      </w:r>
      <w:r w:rsidR="007633FD">
        <w:t xml:space="preserve"> to their own</w:t>
      </w:r>
      <w:r w:rsidR="00912C39">
        <w:t xml:space="preserve"> private practice would be deemed a “conflict of interest” in the following </w:t>
      </w:r>
      <w:r w:rsidR="00912C39" w:rsidRPr="006F3836">
        <w:rPr>
          <w:highlight w:val="yellow"/>
        </w:rPr>
        <w:t>scenarios:</w:t>
      </w:r>
    </w:p>
    <w:p w:rsidR="005B2BBE" w:rsidRPr="00B25A0D" w:rsidRDefault="00912C39" w:rsidP="006F3836">
      <w:pPr>
        <w:pStyle w:val="ListParagraph"/>
      </w:pPr>
      <w:r w:rsidRPr="006F3836">
        <w:rPr>
          <w:highlight w:val="yellow"/>
        </w:rPr>
        <w:t>Where an Associate may be requested to advocate in writing or in person on behalf of a client in the context of a work</w:t>
      </w:r>
      <w:r w:rsidR="00AF4C9D" w:rsidRPr="006F3836">
        <w:rPr>
          <w:highlight w:val="yellow"/>
        </w:rPr>
        <w:t>-</w:t>
      </w:r>
      <w:r w:rsidRPr="006F3836">
        <w:rPr>
          <w:highlight w:val="yellow"/>
        </w:rPr>
        <w:t xml:space="preserve">related matter or conflict where the client has previously accessed EAP entitlements with the associate through this </w:t>
      </w:r>
      <w:proofErr w:type="gramStart"/>
      <w:r w:rsidRPr="006F3836">
        <w:rPr>
          <w:highlight w:val="yellow"/>
        </w:rPr>
        <w:t>workplace.</w:t>
      </w:r>
      <w:bookmarkStart w:id="0" w:name="_GoBack"/>
      <w:r w:rsidR="00B25A0D" w:rsidRPr="006F3836">
        <w:t>.</w:t>
      </w:r>
      <w:bookmarkEnd w:id="0"/>
      <w:proofErr w:type="gramEnd"/>
    </w:p>
    <w:p w:rsidR="005D190C" w:rsidRDefault="005D190C" w:rsidP="00912C39">
      <w:pPr>
        <w:pStyle w:val="ListParagraph"/>
        <w:numPr>
          <w:ilvl w:val="0"/>
          <w:numId w:val="25"/>
        </w:numPr>
      </w:pPr>
      <w:r>
        <w:t>Where an Associate may be requested/required by a third party to provide an assessment and/or report on behalf of a client in relation to a workplace process/action/work cover or compensation claim.</w:t>
      </w:r>
    </w:p>
    <w:p w:rsidR="005D190C" w:rsidRDefault="005D190C" w:rsidP="00912C39">
      <w:pPr>
        <w:pStyle w:val="ListParagraph"/>
        <w:numPr>
          <w:ilvl w:val="0"/>
          <w:numId w:val="25"/>
        </w:numPr>
      </w:pPr>
      <w:r>
        <w:t>Wher</w:t>
      </w:r>
      <w:r w:rsidR="00E01518">
        <w:t>e an Associate is currently working in an onsite role</w:t>
      </w:r>
      <w:r w:rsidR="007616AE">
        <w:t xml:space="preserve"> with a</w:t>
      </w:r>
      <w:r w:rsidR="00AF4C9D">
        <w:t>n</w:t>
      </w:r>
      <w:r w:rsidR="007616AE">
        <w:t xml:space="preserve"> Organisation and the prospective client is an employee.</w:t>
      </w:r>
    </w:p>
    <w:p w:rsidR="00DD2F4E" w:rsidRDefault="00DD2F4E" w:rsidP="00912C39">
      <w:pPr>
        <w:pStyle w:val="ListParagraph"/>
        <w:numPr>
          <w:ilvl w:val="0"/>
          <w:numId w:val="25"/>
        </w:numPr>
      </w:pPr>
      <w:r>
        <w:t>Where an Associate has provided Rapid Response services on behalf of CVI</w:t>
      </w:r>
      <w:r w:rsidR="00517174">
        <w:t xml:space="preserve"> to the employee or member of the public at the behest of the Customer</w:t>
      </w:r>
      <w:r>
        <w:t>.</w:t>
      </w:r>
    </w:p>
    <w:p w:rsidR="00DD2F4E" w:rsidRDefault="00DD2F4E" w:rsidP="00DD2F4E">
      <w:pPr>
        <w:pStyle w:val="ListParagraph"/>
      </w:pPr>
    </w:p>
    <w:p w:rsidR="008B4492" w:rsidRDefault="003C49A4" w:rsidP="00616FC6">
      <w:pPr>
        <w:rPr>
          <w:b/>
        </w:rPr>
      </w:pPr>
      <w:r w:rsidRPr="006F3836">
        <w:rPr>
          <w:b/>
          <w:highlight w:val="yellow"/>
        </w:rPr>
        <w:t>NB:</w:t>
      </w:r>
      <w:r w:rsidR="00616FC6" w:rsidRPr="006F3836">
        <w:rPr>
          <w:b/>
          <w:highlight w:val="yellow"/>
        </w:rPr>
        <w:t xml:space="preserve"> Associates are requested to contact their State based Operations Manager or the </w:t>
      </w:r>
      <w:r w:rsidR="006673C6">
        <w:rPr>
          <w:b/>
          <w:highlight w:val="yellow"/>
        </w:rPr>
        <w:t>N</w:t>
      </w:r>
      <w:r w:rsidR="00616FC6" w:rsidRPr="006F3836">
        <w:rPr>
          <w:b/>
          <w:highlight w:val="yellow"/>
        </w:rPr>
        <w:t xml:space="preserve">ational </w:t>
      </w:r>
      <w:r w:rsidR="006673C6">
        <w:rPr>
          <w:b/>
          <w:highlight w:val="yellow"/>
        </w:rPr>
        <w:t>P</w:t>
      </w:r>
      <w:r w:rsidR="00616FC6" w:rsidRPr="006F3836">
        <w:rPr>
          <w:b/>
          <w:highlight w:val="yellow"/>
        </w:rPr>
        <w:t>rofessional Practices Supervisor for clinical review where a client is being transferred to the private practice and the EAP presenting issue is workplace related</w:t>
      </w:r>
      <w:r w:rsidR="006673C6">
        <w:rPr>
          <w:b/>
          <w:highlight w:val="yellow"/>
        </w:rPr>
        <w:t>. This is</w:t>
      </w:r>
      <w:r w:rsidR="00616FC6" w:rsidRPr="006F3836">
        <w:rPr>
          <w:b/>
          <w:highlight w:val="yellow"/>
        </w:rPr>
        <w:t xml:space="preserve"> to ensure the best interests of all stakeholders are being met</w:t>
      </w:r>
      <w:r w:rsidR="006673C6">
        <w:rPr>
          <w:b/>
          <w:highlight w:val="yellow"/>
        </w:rPr>
        <w:t xml:space="preserve"> and there exists no potential conflicts of interest</w:t>
      </w:r>
    </w:p>
    <w:p w:rsidR="003C49A4" w:rsidRDefault="0012557E" w:rsidP="00616FC6">
      <w:r>
        <w:rPr>
          <w:b/>
        </w:rPr>
        <w:t>5.</w:t>
      </w:r>
      <w:r w:rsidR="003C49A4">
        <w:rPr>
          <w:b/>
        </w:rPr>
        <w:t>3</w:t>
      </w:r>
      <w:r w:rsidR="003C49A4">
        <w:t xml:space="preserve"> upon transfer the Associate create a separate client for services to be delivered privately.</w:t>
      </w:r>
    </w:p>
    <w:p w:rsidR="003C49A4" w:rsidRDefault="0012557E" w:rsidP="00616FC6">
      <w:r>
        <w:t xml:space="preserve"> 5.4</w:t>
      </w:r>
      <w:r w:rsidR="003C49A4">
        <w:t xml:space="preserve"> The service parameters are re-addressed in the initial Private practice session post EAP.</w:t>
      </w:r>
    </w:p>
    <w:p w:rsidR="00445E06" w:rsidRPr="00360132" w:rsidRDefault="002A6638" w:rsidP="00616FC6">
      <w:pPr>
        <w:rPr>
          <w:b/>
        </w:rPr>
      </w:pPr>
      <w:r>
        <w:rPr>
          <w:b/>
        </w:rPr>
        <w:t xml:space="preserve"> </w:t>
      </w:r>
      <w:r w:rsidR="0012557E">
        <w:rPr>
          <w:b/>
        </w:rPr>
        <w:t xml:space="preserve">NB: </w:t>
      </w:r>
      <w:r w:rsidR="00360132" w:rsidRPr="00360132">
        <w:rPr>
          <w:b/>
        </w:rPr>
        <w:t>Important Information</w:t>
      </w:r>
      <w:r w:rsidR="00360132">
        <w:rPr>
          <w:b/>
        </w:rPr>
        <w:t xml:space="preserve"> </w:t>
      </w:r>
      <w:r w:rsidR="00285843">
        <w:rPr>
          <w:b/>
        </w:rPr>
        <w:t>for</w:t>
      </w:r>
      <w:r w:rsidR="00360132">
        <w:rPr>
          <w:b/>
        </w:rPr>
        <w:t xml:space="preserve"> Associates</w:t>
      </w:r>
    </w:p>
    <w:p w:rsidR="00360132" w:rsidRDefault="00360132" w:rsidP="00360132">
      <w:pPr>
        <w:rPr>
          <w:lang w:val="en-GB"/>
        </w:rPr>
      </w:pPr>
      <w:r>
        <w:rPr>
          <w:lang w:val="en-GB"/>
        </w:rPr>
        <w:t xml:space="preserve"> EAP counselling services have very clear parameters in that they involve brief, goal orientated counselling/coaching. These services are not meant to be, or replace, specialist psychological mental health interventions such as provided under Medicare and most often in private psychological practice or </w:t>
      </w:r>
      <w:r w:rsidR="00285843">
        <w:rPr>
          <w:lang w:val="en-GB"/>
        </w:rPr>
        <w:t>long-term</w:t>
      </w:r>
      <w:r>
        <w:rPr>
          <w:lang w:val="en-GB"/>
        </w:rPr>
        <w:t xml:space="preserve"> counselling/therapeutic </w:t>
      </w:r>
      <w:r w:rsidR="00285843">
        <w:rPr>
          <w:lang w:val="en-GB"/>
        </w:rPr>
        <w:t>modalities.</w:t>
      </w:r>
    </w:p>
    <w:p w:rsidR="00360132" w:rsidRDefault="0012557E" w:rsidP="00360132">
      <w:pPr>
        <w:rPr>
          <w:lang w:val="en-GB"/>
        </w:rPr>
      </w:pPr>
      <w:r>
        <w:rPr>
          <w:lang w:val="en-GB"/>
        </w:rPr>
        <w:t xml:space="preserve">1. </w:t>
      </w:r>
      <w:r w:rsidR="00360132">
        <w:rPr>
          <w:lang w:val="en-GB"/>
        </w:rPr>
        <w:t>We believe that if EAP services are utilised to augment, continue or replace other intervention modalities it can be problematic for clients and clinicians in that the role of the clinician in each type of service can be very different, service parameters vary greatly and what we can/cannot do in relation to client support is dissimilar in some important ways. These variations are based in both the best practice and ethical considerations inherent in the different service types and responsibilities of the Consultant. To move between the two can become confusing for clients and potentially a conflict of interest for us as psychologists where multi-stakeholder considerations and dual relationships exist and may not be in the best interest of the client where private practitioners are ethically unable to provide the services the client requires/wants.</w:t>
      </w:r>
    </w:p>
    <w:p w:rsidR="00DD2F4E" w:rsidRDefault="00DD2F4E" w:rsidP="00360132">
      <w:pPr>
        <w:rPr>
          <w:lang w:val="en-GB"/>
        </w:rPr>
      </w:pPr>
      <w:r>
        <w:rPr>
          <w:lang w:val="en-GB"/>
        </w:rPr>
        <w:t xml:space="preserve">Thus, we do not </w:t>
      </w:r>
      <w:r w:rsidR="00335C37">
        <w:rPr>
          <w:lang w:val="en-GB"/>
        </w:rPr>
        <w:t xml:space="preserve">necessarily </w:t>
      </w:r>
      <w:r>
        <w:rPr>
          <w:lang w:val="en-GB"/>
        </w:rPr>
        <w:t xml:space="preserve">support requests from EAP clients to be paired with Associates from whom they have accessed private services in the past unless </w:t>
      </w:r>
      <w:r w:rsidR="00335C37">
        <w:rPr>
          <w:lang w:val="en-GB"/>
        </w:rPr>
        <w:t>overriding ethical considerations apply.</w:t>
      </w:r>
    </w:p>
    <w:p w:rsidR="00510FA2" w:rsidRDefault="00335C37" w:rsidP="00510FA2">
      <w:pPr>
        <w:rPr>
          <w:lang w:val="en-GB"/>
        </w:rPr>
      </w:pPr>
      <w:r>
        <w:rPr>
          <w:lang w:val="en-GB"/>
        </w:rPr>
        <w:t xml:space="preserve">2 </w:t>
      </w:r>
      <w:r w:rsidR="00510FA2">
        <w:rPr>
          <w:lang w:val="en-GB"/>
        </w:rPr>
        <w:t>It is important to also note that Converge International has a broader policy regarding the partnering of clients and Consultants and we cannot guarantee that any specific practitioner request will be met regardless of whether they have accessed earlier services via EAP services (only) with an Associate. Although continuity of care is supported in any one discrete session allocation, the nature of the brief intervention EAP model does not require extended contact over time or different presenting issues.</w:t>
      </w:r>
    </w:p>
    <w:p w:rsidR="00510FA2" w:rsidRDefault="00510FA2" w:rsidP="00510FA2">
      <w:pPr>
        <w:rPr>
          <w:lang w:val="en-GB"/>
        </w:rPr>
      </w:pPr>
    </w:p>
    <w:p w:rsidR="004A43D8" w:rsidRDefault="00D818C2" w:rsidP="004A43D8">
      <w:pPr>
        <w:rPr>
          <w:b/>
        </w:rPr>
      </w:pPr>
      <w:r>
        <w:rPr>
          <w:b/>
        </w:rPr>
        <w:t xml:space="preserve">Appendix One </w:t>
      </w:r>
    </w:p>
    <w:p w:rsidR="004A43D8" w:rsidRDefault="004A43D8" w:rsidP="004A43D8">
      <w:pPr>
        <w:rPr>
          <w:b/>
        </w:rPr>
      </w:pPr>
      <w:r>
        <w:rPr>
          <w:b/>
        </w:rPr>
        <w:t>Suggested Template for Communication with allied health professional (e.g. GP)</w:t>
      </w:r>
    </w:p>
    <w:p w:rsidR="004A43D8" w:rsidRDefault="004A43D8" w:rsidP="004A43D8"/>
    <w:p w:rsidR="004A43D8" w:rsidRDefault="004A43D8" w:rsidP="004A43D8">
      <w:r>
        <w:t>Dear__________</w:t>
      </w:r>
    </w:p>
    <w:p w:rsidR="004A43D8" w:rsidRDefault="004A43D8" w:rsidP="004A43D8">
      <w:r>
        <w:t xml:space="preserve">Ref: _______________ (Patients </w:t>
      </w:r>
      <w:r w:rsidR="00285843">
        <w:t>Name) D.O.B</w:t>
      </w:r>
      <w:r>
        <w:t>________</w:t>
      </w:r>
    </w:p>
    <w:p w:rsidR="004A43D8" w:rsidRDefault="004A43D8" w:rsidP="004A43D8"/>
    <w:p w:rsidR="004A43D8" w:rsidRDefault="004A43D8" w:rsidP="004A43D8">
      <w:r>
        <w:t xml:space="preserve">I am writing in my capacity as a Consultant with Converge International. As an organisation we provide Employee Assistance Programme services </w:t>
      </w:r>
      <w:r w:rsidR="00D818C2">
        <w:t>involving</w:t>
      </w:r>
      <w:r>
        <w:t xml:space="preserve"> brief intervention, goal orientated and time limited counselling</w:t>
      </w:r>
      <w:r w:rsidR="00D818C2">
        <w:t xml:space="preserve"> and consultancies</w:t>
      </w:r>
      <w:r>
        <w:t xml:space="preserve">. </w:t>
      </w:r>
    </w:p>
    <w:p w:rsidR="004A43D8" w:rsidRDefault="00D818C2" w:rsidP="004A43D8">
      <w:r>
        <w:t xml:space="preserve">(Client </w:t>
      </w:r>
      <w:r w:rsidR="00285843">
        <w:t>Name) _</w:t>
      </w:r>
      <w:r w:rsidR="004A43D8">
        <w:t>________ has accessed this service under their employment entitlements and has provided consent for me to contact you as his/her reported primary physician. In the context of our contact the client has reported the following:</w:t>
      </w:r>
    </w:p>
    <w:p w:rsidR="004A43D8" w:rsidRPr="00922691" w:rsidRDefault="004A43D8" w:rsidP="004A43D8">
      <w:pPr>
        <w:rPr>
          <w:b/>
          <w:color w:val="FF0000"/>
        </w:rPr>
      </w:pPr>
      <w:r>
        <w:rPr>
          <w:b/>
        </w:rPr>
        <w:t xml:space="preserve">(Include here client </w:t>
      </w:r>
      <w:r w:rsidR="00285843">
        <w:rPr>
          <w:b/>
        </w:rPr>
        <w:t>self-reported</w:t>
      </w:r>
      <w:r>
        <w:rPr>
          <w:b/>
        </w:rPr>
        <w:t xml:space="preserve"> symptoms, relevant situational context and any noted suicidal thoughts/intent)</w:t>
      </w:r>
      <w:r w:rsidR="00922691">
        <w:rPr>
          <w:b/>
        </w:rPr>
        <w:t xml:space="preserve"> </w:t>
      </w:r>
      <w:r w:rsidR="00922691">
        <w:rPr>
          <w:b/>
          <w:color w:val="FF0000"/>
        </w:rPr>
        <w:t>NB no diagnostic language or comment on causality or prognosis is to be included.</w:t>
      </w:r>
    </w:p>
    <w:p w:rsidR="004A43D8" w:rsidRDefault="004A43D8" w:rsidP="004A43D8">
      <w:r>
        <w:t>EAP counselling cannot provide longer term support, treatment or therapeutic services. As such, and in the light of that reported by the client above, I would appreciate your assessment o</w:t>
      </w:r>
      <w:r w:rsidR="00922691">
        <w:t>f (Client’s Name)</w:t>
      </w:r>
      <w:r>
        <w:t xml:space="preserve"> needs and </w:t>
      </w:r>
      <w:r w:rsidR="00922691">
        <w:t xml:space="preserve">any </w:t>
      </w:r>
      <w:r>
        <w:t>appropriate referral for psychological and/or medical treatment.</w:t>
      </w:r>
    </w:p>
    <w:p w:rsidR="004A43D8" w:rsidRDefault="004A43D8" w:rsidP="004A43D8">
      <w:r>
        <w:t xml:space="preserve">Yours </w:t>
      </w:r>
      <w:r w:rsidR="00922691">
        <w:t>Faithfully</w:t>
      </w:r>
      <w:r>
        <w:t>,</w:t>
      </w:r>
    </w:p>
    <w:p w:rsidR="006965A3" w:rsidRDefault="00922691" w:rsidP="00922691">
      <w:pPr>
        <w:rPr>
          <w:rFonts w:eastAsia="Times New Roman"/>
          <w:b/>
        </w:rPr>
      </w:pPr>
      <w:r>
        <w:rPr>
          <w:rFonts w:eastAsia="Times New Roman"/>
          <w:b/>
        </w:rPr>
        <w:t>(Consultant Name</w:t>
      </w:r>
      <w:r w:rsidR="00A752C1">
        <w:rPr>
          <w:rFonts w:eastAsia="Times New Roman"/>
          <w:b/>
        </w:rPr>
        <w:t>)</w:t>
      </w:r>
    </w:p>
    <w:p w:rsidR="00922691" w:rsidRDefault="00922691" w:rsidP="00922691">
      <w:pPr>
        <w:rPr>
          <w:rFonts w:eastAsia="Times New Roman"/>
          <w:b/>
        </w:rPr>
      </w:pPr>
      <w:r>
        <w:rPr>
          <w:rFonts w:eastAsia="Times New Roman"/>
          <w:b/>
        </w:rPr>
        <w:t>Senior/Principle Consultant</w:t>
      </w:r>
    </w:p>
    <w:p w:rsidR="00922691" w:rsidRDefault="00922691" w:rsidP="00922691">
      <w:pPr>
        <w:rPr>
          <w:rFonts w:eastAsia="Times New Roman"/>
          <w:b/>
        </w:rPr>
      </w:pPr>
      <w:r>
        <w:rPr>
          <w:rFonts w:eastAsia="Times New Roman"/>
          <w:b/>
        </w:rPr>
        <w:t>Converge International</w:t>
      </w:r>
    </w:p>
    <w:p w:rsidR="006371F4" w:rsidRDefault="006371F4" w:rsidP="00922691">
      <w:pPr>
        <w:rPr>
          <w:rFonts w:eastAsia="Times New Roman"/>
          <w:b/>
        </w:rPr>
      </w:pPr>
    </w:p>
    <w:p w:rsidR="006371F4" w:rsidRDefault="006371F4" w:rsidP="00922691">
      <w:pPr>
        <w:rPr>
          <w:rFonts w:eastAsia="Times New Roman"/>
          <w:b/>
        </w:rPr>
      </w:pPr>
      <w:r>
        <w:rPr>
          <w:rFonts w:eastAsia="Times New Roman"/>
          <w:b/>
        </w:rPr>
        <w:t>Appendix Two (CS script for inhouse client transition)</w:t>
      </w:r>
    </w:p>
    <w:p w:rsidR="0032208A" w:rsidRDefault="0032208A" w:rsidP="0032208A">
      <w:pPr>
        <w:rPr>
          <w:b/>
          <w:color w:val="FF0000"/>
        </w:rPr>
      </w:pPr>
      <w:r>
        <w:rPr>
          <w:b/>
        </w:rPr>
        <w:t>“</w:t>
      </w:r>
      <w:r>
        <w:rPr>
          <w:b/>
          <w:color w:val="FF0000"/>
        </w:rPr>
        <w:t xml:space="preserve">We are sorry, however due to unforeseen events, your current Consultant is unable to continue to provide services to you. We must respect the right to privacy of our Consultants as we do for all clients and so we unable to provide a detailed explanation except to say that your Consultant has asked that we pass on their sincere apologies. We are very aware that this will impact you and would like to transition you to another Consultant and make the transition as smooth as possible. We will, with your consent, ensure that your case notes are transitioned to the new Consultant prior to your next appointment and ensure your that should your new Consultant believe it is appropriate to request an extension of sessions </w:t>
      </w:r>
      <w:r w:rsidR="003024C2">
        <w:rPr>
          <w:b/>
          <w:color w:val="FF0000"/>
        </w:rPr>
        <w:t>because of</w:t>
      </w:r>
      <w:r>
        <w:rPr>
          <w:b/>
          <w:color w:val="FF0000"/>
        </w:rPr>
        <w:t xml:space="preserve"> the interruption in service delivery we will expedite this request to your organisation.”</w:t>
      </w:r>
    </w:p>
    <w:p w:rsidR="0032208A" w:rsidRPr="005D63A5" w:rsidRDefault="0032208A" w:rsidP="0032208A">
      <w:pPr>
        <w:rPr>
          <w:b/>
          <w:color w:val="FF0000"/>
        </w:rPr>
      </w:pPr>
    </w:p>
    <w:p w:rsidR="0032208A" w:rsidRPr="009536F6" w:rsidRDefault="0032208A" w:rsidP="0032208A">
      <w:pPr>
        <w:rPr>
          <w:b/>
        </w:rPr>
      </w:pPr>
      <w:r w:rsidRPr="009536F6">
        <w:rPr>
          <w:b/>
        </w:rPr>
        <w:t xml:space="preserve"> </w:t>
      </w:r>
    </w:p>
    <w:p w:rsidR="006371F4" w:rsidRPr="00922691" w:rsidRDefault="006371F4" w:rsidP="00922691">
      <w:pPr>
        <w:rPr>
          <w:rFonts w:eastAsia="Times New Roman"/>
          <w:b/>
        </w:rPr>
      </w:pPr>
      <w:r>
        <w:rPr>
          <w:rFonts w:eastAsia="Times New Roman"/>
          <w:b/>
        </w:rPr>
        <w:t>Appendix Three (Client Transfer Form-Associates Only</w:t>
      </w:r>
      <w:r w:rsidR="00A752C1">
        <w:rPr>
          <w:rFonts w:eastAsia="Times New Roman"/>
          <w:b/>
        </w:rPr>
        <w:t>)</w:t>
      </w:r>
    </w:p>
    <w:p w:rsidR="007D4E93" w:rsidRDefault="007D4E93" w:rsidP="007D4E93">
      <w:pPr>
        <w:spacing w:line="360" w:lineRule="auto"/>
        <w:rPr>
          <w:sz w:val="28"/>
          <w:szCs w:val="28"/>
        </w:rPr>
      </w:pPr>
      <w:r>
        <w:rPr>
          <w:b/>
          <w:sz w:val="40"/>
        </w:rPr>
        <w:t>Client Transfer Form</w:t>
      </w:r>
      <w:r>
        <w:rPr>
          <w:sz w:val="40"/>
        </w:rPr>
        <w:t xml:space="preserve"> </w:t>
      </w:r>
      <w:r>
        <w:rPr>
          <w:sz w:val="28"/>
          <w:szCs w:val="28"/>
        </w:rPr>
        <w:t>(Associates Only)</w:t>
      </w:r>
    </w:p>
    <w:p w:rsidR="007D4E93" w:rsidRDefault="007D4E93" w:rsidP="007D4E93">
      <w:pPr>
        <w:spacing w:line="240" w:lineRule="auto"/>
      </w:pPr>
      <w:r>
        <w:t>This form verifies that:</w:t>
      </w:r>
    </w:p>
    <w:p w:rsidR="007D4E93" w:rsidRDefault="007D4E93" w:rsidP="007D4E93">
      <w:pPr>
        <w:pStyle w:val="ListParagraph"/>
        <w:numPr>
          <w:ilvl w:val="0"/>
          <w:numId w:val="26"/>
        </w:numPr>
        <w:spacing w:after="200"/>
        <w:contextualSpacing/>
      </w:pPr>
      <w:r>
        <w:t xml:space="preserve">The Converge International Consultant has provided and offered to support a transfer to several independent referral options (three options to be provided where regional resources allow). </w:t>
      </w:r>
    </w:p>
    <w:p w:rsidR="007D4E93" w:rsidRDefault="007D4E93" w:rsidP="007D4E93">
      <w:pPr>
        <w:pStyle w:val="ListParagraph"/>
        <w:ind w:left="765"/>
      </w:pPr>
    </w:p>
    <w:p w:rsidR="007D4E93" w:rsidRDefault="007D4E93" w:rsidP="007D4E93">
      <w:pPr>
        <w:pStyle w:val="ListParagraph"/>
        <w:numPr>
          <w:ilvl w:val="0"/>
          <w:numId w:val="26"/>
        </w:numPr>
        <w:spacing w:after="200"/>
        <w:contextualSpacing/>
      </w:pPr>
      <w:r>
        <w:t xml:space="preserve">The EAP Consultant has provided all relevant information in relation to these referral options including; fees, provider qualifications and likely availability. </w:t>
      </w:r>
    </w:p>
    <w:p w:rsidR="007D4E93" w:rsidRDefault="007D4E93" w:rsidP="007D4E93">
      <w:pPr>
        <w:pStyle w:val="ListParagraph"/>
      </w:pPr>
    </w:p>
    <w:p w:rsidR="007D4E93" w:rsidRDefault="007D4E93" w:rsidP="007D4E93">
      <w:pPr>
        <w:pStyle w:val="ListParagraph"/>
        <w:numPr>
          <w:ilvl w:val="0"/>
          <w:numId w:val="26"/>
        </w:numPr>
        <w:spacing w:after="200" w:line="276" w:lineRule="auto"/>
        <w:contextualSpacing/>
      </w:pPr>
      <w:r>
        <w:t xml:space="preserve">The EAP Consultant has explained the differences between the parameters of service delivery under EAP counselling and services provided in their private practice. </w:t>
      </w:r>
    </w:p>
    <w:p w:rsidR="007D4E93" w:rsidRDefault="007D4E93" w:rsidP="007D4E93">
      <w:pPr>
        <w:pStyle w:val="ListParagraph"/>
      </w:pPr>
    </w:p>
    <w:p w:rsidR="007D4E93" w:rsidRDefault="007D4E93" w:rsidP="007D4E93">
      <w:pPr>
        <w:pStyle w:val="ListParagraph"/>
        <w:numPr>
          <w:ilvl w:val="0"/>
          <w:numId w:val="26"/>
        </w:numPr>
        <w:spacing w:after="200" w:line="276" w:lineRule="auto"/>
        <w:contextualSpacing/>
      </w:pPr>
      <w:r>
        <w:t xml:space="preserve">Should a report be </w:t>
      </w:r>
      <w:proofErr w:type="gramStart"/>
      <w:r>
        <w:t>required</w:t>
      </w:r>
      <w:proofErr w:type="gramEnd"/>
      <w:r>
        <w:t xml:space="preserve"> or any advocacy be requested in the future on a matter related to the employing organisation under which EAP services were accessed at time of transfer, provision of these services by the Consultant may not be possible. </w:t>
      </w:r>
    </w:p>
    <w:p w:rsidR="007D4E93" w:rsidRDefault="007D4E93" w:rsidP="007D4E93">
      <w:pPr>
        <w:pStyle w:val="ListParagraph"/>
      </w:pPr>
    </w:p>
    <w:p w:rsidR="007D4E93" w:rsidRDefault="007D4E93" w:rsidP="007D4E93">
      <w:pPr>
        <w:pStyle w:val="ListParagraph"/>
        <w:numPr>
          <w:ilvl w:val="0"/>
          <w:numId w:val="26"/>
        </w:numPr>
        <w:spacing w:after="200" w:line="276" w:lineRule="auto"/>
        <w:contextualSpacing/>
      </w:pPr>
      <w:r>
        <w:t>It is understood that ongoing contact is to be provided outside any work entitlements and responsibility for any fees payable to The Consultant’s private practice lie with the client(s) named below.</w:t>
      </w:r>
    </w:p>
    <w:p w:rsidR="007D4E93" w:rsidRDefault="007D4E93" w:rsidP="007D4E93">
      <w:pPr>
        <w:spacing w:line="240" w:lineRule="auto"/>
      </w:pPr>
      <w:r>
        <w:t>The undersigned confirm that the information outlined above has been provided and accepted and a choice made to transfer to the Consultant’s private practice.</w:t>
      </w:r>
    </w:p>
    <w:tbl>
      <w:tblPr>
        <w:tblStyle w:val="TableGrid"/>
        <w:tblW w:w="9546" w:type="dxa"/>
        <w:tblInd w:w="108" w:type="dxa"/>
        <w:tblLook w:val="04A0" w:firstRow="1" w:lastRow="0" w:firstColumn="1" w:lastColumn="0" w:noHBand="0" w:noVBand="1"/>
      </w:tblPr>
      <w:tblGrid>
        <w:gridCol w:w="2279"/>
        <w:gridCol w:w="7267"/>
      </w:tblGrid>
      <w:tr w:rsidR="007D4E93" w:rsidTr="007D4E93">
        <w:trPr>
          <w:trHeight w:val="538"/>
        </w:trPr>
        <w:tc>
          <w:tcPr>
            <w:tcW w:w="2279" w:type="dxa"/>
            <w:tcBorders>
              <w:top w:val="single" w:sz="4" w:space="0" w:color="auto"/>
              <w:left w:val="single" w:sz="4" w:space="0" w:color="auto"/>
              <w:bottom w:val="single" w:sz="4" w:space="0" w:color="auto"/>
              <w:right w:val="single" w:sz="4" w:space="0" w:color="auto"/>
            </w:tcBorders>
            <w:vAlign w:val="center"/>
            <w:hideMark/>
          </w:tcPr>
          <w:p w:rsidR="007D4E93" w:rsidRDefault="007D4E93">
            <w:pPr>
              <w:rPr>
                <w:b/>
              </w:rPr>
            </w:pPr>
            <w:r>
              <w:rPr>
                <w:b/>
              </w:rPr>
              <w:t xml:space="preserve">JN: </w:t>
            </w:r>
          </w:p>
        </w:tc>
        <w:tc>
          <w:tcPr>
            <w:tcW w:w="7267" w:type="dxa"/>
            <w:tcBorders>
              <w:top w:val="single" w:sz="4" w:space="0" w:color="auto"/>
              <w:left w:val="single" w:sz="4" w:space="0" w:color="auto"/>
              <w:bottom w:val="single" w:sz="4" w:space="0" w:color="auto"/>
              <w:right w:val="single" w:sz="4" w:space="0" w:color="auto"/>
            </w:tcBorders>
            <w:vAlign w:val="center"/>
          </w:tcPr>
          <w:p w:rsidR="007D4E93" w:rsidRDefault="007D4E93">
            <w:pPr>
              <w:spacing w:line="360" w:lineRule="auto"/>
              <w:rPr>
                <w:rFonts w:cs="Arial"/>
                <w:sz w:val="24"/>
                <w:szCs w:val="24"/>
              </w:rPr>
            </w:pPr>
          </w:p>
        </w:tc>
      </w:tr>
      <w:tr w:rsidR="007D4E93" w:rsidTr="007D4E93">
        <w:trPr>
          <w:trHeight w:val="538"/>
        </w:trPr>
        <w:tc>
          <w:tcPr>
            <w:tcW w:w="2279" w:type="dxa"/>
            <w:tcBorders>
              <w:top w:val="single" w:sz="4" w:space="0" w:color="auto"/>
              <w:left w:val="single" w:sz="4" w:space="0" w:color="auto"/>
              <w:bottom w:val="single" w:sz="4" w:space="0" w:color="auto"/>
              <w:right w:val="single" w:sz="4" w:space="0" w:color="auto"/>
            </w:tcBorders>
            <w:vAlign w:val="center"/>
            <w:hideMark/>
          </w:tcPr>
          <w:p w:rsidR="007D4E93" w:rsidRDefault="007D4E93">
            <w:pPr>
              <w:rPr>
                <w:b/>
              </w:rPr>
            </w:pPr>
            <w:r>
              <w:rPr>
                <w:b/>
              </w:rPr>
              <w:t xml:space="preserve">Name of Client(s): </w:t>
            </w:r>
          </w:p>
        </w:tc>
        <w:tc>
          <w:tcPr>
            <w:tcW w:w="7267" w:type="dxa"/>
            <w:tcBorders>
              <w:top w:val="single" w:sz="4" w:space="0" w:color="auto"/>
              <w:left w:val="single" w:sz="4" w:space="0" w:color="auto"/>
              <w:bottom w:val="single" w:sz="4" w:space="0" w:color="auto"/>
              <w:right w:val="single" w:sz="4" w:space="0" w:color="auto"/>
            </w:tcBorders>
            <w:vAlign w:val="center"/>
          </w:tcPr>
          <w:p w:rsidR="007D4E93" w:rsidRDefault="007D4E93">
            <w:pPr>
              <w:spacing w:line="360" w:lineRule="auto"/>
              <w:rPr>
                <w:rFonts w:cs="Arial"/>
                <w:sz w:val="24"/>
                <w:szCs w:val="24"/>
              </w:rPr>
            </w:pPr>
          </w:p>
        </w:tc>
      </w:tr>
      <w:tr w:rsidR="007D4E93" w:rsidTr="007D4E93">
        <w:trPr>
          <w:trHeight w:val="519"/>
        </w:trPr>
        <w:tc>
          <w:tcPr>
            <w:tcW w:w="2279" w:type="dxa"/>
            <w:tcBorders>
              <w:top w:val="single" w:sz="4" w:space="0" w:color="auto"/>
              <w:left w:val="single" w:sz="4" w:space="0" w:color="auto"/>
              <w:bottom w:val="single" w:sz="4" w:space="0" w:color="auto"/>
              <w:right w:val="single" w:sz="4" w:space="0" w:color="auto"/>
            </w:tcBorders>
            <w:vAlign w:val="center"/>
            <w:hideMark/>
          </w:tcPr>
          <w:p w:rsidR="007D4E93" w:rsidRDefault="007D4E93">
            <w:pPr>
              <w:rPr>
                <w:b/>
              </w:rPr>
            </w:pPr>
            <w:r>
              <w:rPr>
                <w:b/>
              </w:rPr>
              <w:t>Client signature:</w:t>
            </w:r>
          </w:p>
        </w:tc>
        <w:tc>
          <w:tcPr>
            <w:tcW w:w="7267" w:type="dxa"/>
            <w:tcBorders>
              <w:top w:val="single" w:sz="4" w:space="0" w:color="auto"/>
              <w:left w:val="single" w:sz="4" w:space="0" w:color="auto"/>
              <w:bottom w:val="single" w:sz="4" w:space="0" w:color="auto"/>
              <w:right w:val="single" w:sz="4" w:space="0" w:color="auto"/>
            </w:tcBorders>
            <w:vAlign w:val="center"/>
          </w:tcPr>
          <w:p w:rsidR="007D4E93" w:rsidRDefault="007D4E93">
            <w:pPr>
              <w:spacing w:line="360" w:lineRule="auto"/>
              <w:rPr>
                <w:rFonts w:cs="Arial"/>
                <w:sz w:val="24"/>
                <w:szCs w:val="24"/>
              </w:rPr>
            </w:pPr>
          </w:p>
        </w:tc>
      </w:tr>
      <w:tr w:rsidR="007D4E93" w:rsidTr="007D4E93">
        <w:trPr>
          <w:trHeight w:val="519"/>
        </w:trPr>
        <w:tc>
          <w:tcPr>
            <w:tcW w:w="2279" w:type="dxa"/>
            <w:tcBorders>
              <w:top w:val="single" w:sz="4" w:space="0" w:color="auto"/>
              <w:left w:val="single" w:sz="4" w:space="0" w:color="auto"/>
              <w:bottom w:val="single" w:sz="4" w:space="0" w:color="auto"/>
              <w:right w:val="single" w:sz="4" w:space="0" w:color="auto"/>
            </w:tcBorders>
            <w:vAlign w:val="center"/>
            <w:hideMark/>
          </w:tcPr>
          <w:p w:rsidR="007D4E93" w:rsidRDefault="007D4E93">
            <w:pPr>
              <w:rPr>
                <w:b/>
              </w:rPr>
            </w:pPr>
            <w:r>
              <w:rPr>
                <w:b/>
              </w:rPr>
              <w:t>Date:</w:t>
            </w:r>
          </w:p>
        </w:tc>
        <w:tc>
          <w:tcPr>
            <w:tcW w:w="7267" w:type="dxa"/>
            <w:tcBorders>
              <w:top w:val="single" w:sz="4" w:space="0" w:color="auto"/>
              <w:left w:val="single" w:sz="4" w:space="0" w:color="auto"/>
              <w:bottom w:val="single" w:sz="4" w:space="0" w:color="auto"/>
              <w:right w:val="single" w:sz="4" w:space="0" w:color="auto"/>
            </w:tcBorders>
            <w:vAlign w:val="center"/>
          </w:tcPr>
          <w:p w:rsidR="007D4E93" w:rsidRDefault="007D4E93">
            <w:pPr>
              <w:spacing w:line="360" w:lineRule="auto"/>
              <w:rPr>
                <w:rFonts w:cs="Arial"/>
                <w:sz w:val="24"/>
                <w:szCs w:val="24"/>
              </w:rPr>
            </w:pPr>
          </w:p>
        </w:tc>
      </w:tr>
      <w:tr w:rsidR="007D4E93" w:rsidTr="007D4E93">
        <w:trPr>
          <w:trHeight w:val="538"/>
        </w:trPr>
        <w:tc>
          <w:tcPr>
            <w:tcW w:w="2279" w:type="dxa"/>
            <w:tcBorders>
              <w:top w:val="single" w:sz="4" w:space="0" w:color="auto"/>
              <w:left w:val="single" w:sz="4" w:space="0" w:color="auto"/>
              <w:bottom w:val="single" w:sz="4" w:space="0" w:color="auto"/>
              <w:right w:val="single" w:sz="4" w:space="0" w:color="auto"/>
            </w:tcBorders>
            <w:vAlign w:val="center"/>
            <w:hideMark/>
          </w:tcPr>
          <w:p w:rsidR="007D4E93" w:rsidRDefault="007D4E93">
            <w:pPr>
              <w:rPr>
                <w:b/>
              </w:rPr>
            </w:pPr>
            <w:r>
              <w:rPr>
                <w:b/>
              </w:rPr>
              <w:t xml:space="preserve">Consultant Name: </w:t>
            </w:r>
          </w:p>
        </w:tc>
        <w:tc>
          <w:tcPr>
            <w:tcW w:w="7267" w:type="dxa"/>
            <w:tcBorders>
              <w:top w:val="single" w:sz="4" w:space="0" w:color="auto"/>
              <w:left w:val="single" w:sz="4" w:space="0" w:color="auto"/>
              <w:bottom w:val="single" w:sz="4" w:space="0" w:color="auto"/>
              <w:right w:val="single" w:sz="4" w:space="0" w:color="auto"/>
            </w:tcBorders>
            <w:vAlign w:val="center"/>
          </w:tcPr>
          <w:p w:rsidR="007D4E93" w:rsidRDefault="007D4E93">
            <w:pPr>
              <w:spacing w:line="360" w:lineRule="auto"/>
              <w:rPr>
                <w:rFonts w:cs="Arial"/>
                <w:sz w:val="24"/>
                <w:szCs w:val="24"/>
              </w:rPr>
            </w:pPr>
          </w:p>
        </w:tc>
      </w:tr>
      <w:tr w:rsidR="007D4E93" w:rsidTr="007D4E93">
        <w:trPr>
          <w:trHeight w:val="538"/>
        </w:trPr>
        <w:tc>
          <w:tcPr>
            <w:tcW w:w="2279" w:type="dxa"/>
            <w:tcBorders>
              <w:top w:val="single" w:sz="4" w:space="0" w:color="auto"/>
              <w:left w:val="single" w:sz="4" w:space="0" w:color="auto"/>
              <w:bottom w:val="single" w:sz="4" w:space="0" w:color="auto"/>
              <w:right w:val="single" w:sz="4" w:space="0" w:color="auto"/>
            </w:tcBorders>
            <w:vAlign w:val="center"/>
            <w:hideMark/>
          </w:tcPr>
          <w:p w:rsidR="007D4E93" w:rsidRDefault="007D4E93">
            <w:pPr>
              <w:rPr>
                <w:b/>
              </w:rPr>
            </w:pPr>
            <w:r>
              <w:rPr>
                <w:b/>
              </w:rPr>
              <w:t xml:space="preserve">Consultant Signature: </w:t>
            </w:r>
          </w:p>
        </w:tc>
        <w:tc>
          <w:tcPr>
            <w:tcW w:w="7267" w:type="dxa"/>
            <w:tcBorders>
              <w:top w:val="single" w:sz="4" w:space="0" w:color="auto"/>
              <w:left w:val="single" w:sz="4" w:space="0" w:color="auto"/>
              <w:bottom w:val="single" w:sz="4" w:space="0" w:color="auto"/>
              <w:right w:val="single" w:sz="4" w:space="0" w:color="auto"/>
            </w:tcBorders>
            <w:vAlign w:val="center"/>
          </w:tcPr>
          <w:p w:rsidR="007D4E93" w:rsidRDefault="007D4E93">
            <w:pPr>
              <w:spacing w:line="360" w:lineRule="auto"/>
              <w:rPr>
                <w:rFonts w:cs="Arial"/>
                <w:sz w:val="24"/>
                <w:szCs w:val="24"/>
              </w:rPr>
            </w:pPr>
          </w:p>
        </w:tc>
      </w:tr>
      <w:tr w:rsidR="007D4E93" w:rsidTr="007D4E93">
        <w:trPr>
          <w:trHeight w:val="538"/>
        </w:trPr>
        <w:tc>
          <w:tcPr>
            <w:tcW w:w="2279" w:type="dxa"/>
            <w:tcBorders>
              <w:top w:val="single" w:sz="4" w:space="0" w:color="auto"/>
              <w:left w:val="single" w:sz="4" w:space="0" w:color="auto"/>
              <w:bottom w:val="single" w:sz="4" w:space="0" w:color="auto"/>
              <w:right w:val="single" w:sz="4" w:space="0" w:color="auto"/>
            </w:tcBorders>
            <w:vAlign w:val="center"/>
            <w:hideMark/>
          </w:tcPr>
          <w:p w:rsidR="007D4E93" w:rsidRDefault="007D4E93">
            <w:pPr>
              <w:rPr>
                <w:b/>
              </w:rPr>
            </w:pPr>
            <w:r>
              <w:rPr>
                <w:b/>
              </w:rPr>
              <w:t>Date:</w:t>
            </w:r>
          </w:p>
        </w:tc>
        <w:tc>
          <w:tcPr>
            <w:tcW w:w="7267" w:type="dxa"/>
            <w:tcBorders>
              <w:top w:val="single" w:sz="4" w:space="0" w:color="auto"/>
              <w:left w:val="single" w:sz="4" w:space="0" w:color="auto"/>
              <w:bottom w:val="single" w:sz="4" w:space="0" w:color="auto"/>
              <w:right w:val="single" w:sz="4" w:space="0" w:color="auto"/>
            </w:tcBorders>
            <w:vAlign w:val="center"/>
          </w:tcPr>
          <w:p w:rsidR="007D4E93" w:rsidRDefault="007D4E93">
            <w:pPr>
              <w:spacing w:line="360" w:lineRule="auto"/>
              <w:rPr>
                <w:rFonts w:cs="Arial"/>
                <w:sz w:val="24"/>
                <w:szCs w:val="24"/>
              </w:rPr>
            </w:pPr>
          </w:p>
        </w:tc>
      </w:tr>
    </w:tbl>
    <w:p w:rsidR="007D4E93" w:rsidRDefault="007D4E93" w:rsidP="007D4E93">
      <w:pPr>
        <w:spacing w:line="240" w:lineRule="auto"/>
        <w:rPr>
          <w:rFonts w:cs="Arial"/>
          <w:sz w:val="20"/>
        </w:rPr>
      </w:pPr>
      <w:r>
        <w:rPr>
          <w:rFonts w:cs="Arial"/>
          <w:color w:val="FF0000"/>
          <w:sz w:val="20"/>
        </w:rPr>
        <w:t xml:space="preserve">N/B: </w:t>
      </w:r>
      <w:r>
        <w:rPr>
          <w:rFonts w:cs="Arial"/>
          <w:sz w:val="20"/>
        </w:rPr>
        <w:t xml:space="preserve">The Client Transfer Form is to be placed on the EAP Client File as a record of transfer and a copy sent to Client Services either via Fax 03 8681 2488, Scanned and e-mailed to </w:t>
      </w:r>
      <w:hyperlink r:id="rId5" w:history="1">
        <w:r>
          <w:rPr>
            <w:rStyle w:val="Hyperlink"/>
            <w:rFonts w:cs="Arial"/>
            <w:sz w:val="20"/>
          </w:rPr>
          <w:t>customerservice@convergeintl.com.au</w:t>
        </w:r>
      </w:hyperlink>
      <w:r>
        <w:rPr>
          <w:rFonts w:cs="Arial"/>
          <w:sz w:val="20"/>
        </w:rPr>
        <w:t xml:space="preserve"> or by mail to Attention to Client Services: Level 5/ 255 Bourke Street, Melbourne VIC 3000.</w:t>
      </w:r>
    </w:p>
    <w:p w:rsidR="007D4E93" w:rsidRDefault="007D4E93" w:rsidP="007D4E93">
      <w:pPr>
        <w:spacing w:line="360" w:lineRule="auto"/>
        <w:rPr>
          <w:noProof/>
          <w:sz w:val="2"/>
          <w:szCs w:val="2"/>
          <w:lang w:eastAsia="en-AU"/>
        </w:rPr>
      </w:pPr>
    </w:p>
    <w:p w:rsidR="009E63E0" w:rsidRDefault="009E63E0" w:rsidP="009E63E0">
      <w:pPr>
        <w:rPr>
          <w:rFonts w:eastAsia="Times New Roman"/>
          <w:b/>
        </w:rPr>
      </w:pPr>
    </w:p>
    <w:p w:rsidR="009E63E0" w:rsidRPr="006965A3" w:rsidRDefault="009E63E0" w:rsidP="006965A3">
      <w:pPr>
        <w:rPr>
          <w:rFonts w:eastAsia="Times New Roman"/>
          <w:b/>
        </w:rPr>
      </w:pPr>
    </w:p>
    <w:p w:rsidR="00EE28AB" w:rsidRDefault="00EE28AB" w:rsidP="00EE28AB">
      <w:pPr>
        <w:rPr>
          <w:rFonts w:eastAsia="Times New Roman"/>
          <w:b/>
        </w:rPr>
      </w:pPr>
    </w:p>
    <w:p w:rsidR="001451AC" w:rsidRDefault="001451AC" w:rsidP="001451AC">
      <w:pPr>
        <w:rPr>
          <w:lang w:val="en-GB"/>
        </w:rPr>
      </w:pPr>
    </w:p>
    <w:p w:rsidR="001451AC" w:rsidRDefault="001451AC" w:rsidP="001451AC"/>
    <w:p w:rsidR="00DA6A51" w:rsidRPr="001D7F95" w:rsidRDefault="00DA6A51" w:rsidP="00DA6A51">
      <w:pPr>
        <w:spacing w:after="0"/>
        <w:rPr>
          <w:rFonts w:ascii="Calibri" w:hAnsi="Calibri" w:cs="Calibri"/>
          <w:color w:val="FF0000"/>
        </w:rPr>
      </w:pPr>
    </w:p>
    <w:p w:rsidR="00DA6A51" w:rsidRPr="00600491" w:rsidRDefault="00DA6A51" w:rsidP="00600491">
      <w:pPr>
        <w:contextualSpacing/>
        <w:rPr>
          <w:b/>
        </w:rPr>
      </w:pPr>
    </w:p>
    <w:p w:rsidR="00DA6A51" w:rsidRPr="00DA5D73" w:rsidRDefault="00DA6A51" w:rsidP="00DA6A51">
      <w:pPr>
        <w:spacing w:after="0"/>
        <w:rPr>
          <w:rFonts w:ascii="Calibri" w:hAnsi="Calibri" w:cs="Calibri"/>
          <w:b/>
        </w:rPr>
      </w:pPr>
    </w:p>
    <w:p w:rsidR="001E6BEF" w:rsidRDefault="001E6BEF" w:rsidP="001E6BEF"/>
    <w:p w:rsidR="001E6BEF" w:rsidRDefault="001E6BEF" w:rsidP="001E6BEF"/>
    <w:p w:rsidR="001E6BEF" w:rsidRDefault="001E6BEF" w:rsidP="000E66E3"/>
    <w:p w:rsidR="00460428" w:rsidRDefault="00460428"/>
    <w:sectPr w:rsidR="00460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768"/>
    <w:multiLevelType w:val="hybridMultilevel"/>
    <w:tmpl w:val="7CAEB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D10F89"/>
    <w:multiLevelType w:val="hybridMultilevel"/>
    <w:tmpl w:val="3DEE26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2E33725"/>
    <w:multiLevelType w:val="hybridMultilevel"/>
    <w:tmpl w:val="E14CC818"/>
    <w:lvl w:ilvl="0" w:tplc="586448DE">
      <w:start w:val="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7F5B30"/>
    <w:multiLevelType w:val="hybridMultilevel"/>
    <w:tmpl w:val="F1D2AEB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92B3BC9"/>
    <w:multiLevelType w:val="hybridMultilevel"/>
    <w:tmpl w:val="98D0E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C82917"/>
    <w:multiLevelType w:val="multilevel"/>
    <w:tmpl w:val="857A0C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9F769D"/>
    <w:multiLevelType w:val="multilevel"/>
    <w:tmpl w:val="83D64AFC"/>
    <w:lvl w:ilvl="0">
      <w:start w:val="1"/>
      <w:numFmt w:val="decimal"/>
      <w:lvlText w:val="%1."/>
      <w:lvlJc w:val="left"/>
      <w:pPr>
        <w:ind w:left="720" w:hanging="360"/>
      </w:pPr>
      <w:rPr>
        <w:rFonts w:asciiTheme="minorHAnsi" w:eastAsia="Times New Roman"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1D3B9D"/>
    <w:multiLevelType w:val="hybridMultilevel"/>
    <w:tmpl w:val="7D2ED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A17E0E"/>
    <w:multiLevelType w:val="hybridMultilevel"/>
    <w:tmpl w:val="E76E29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9696ED1"/>
    <w:multiLevelType w:val="hybridMultilevel"/>
    <w:tmpl w:val="7BDADF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22178C"/>
    <w:multiLevelType w:val="hybridMultilevel"/>
    <w:tmpl w:val="69AA1AB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1" w15:restartNumberingAfterBreak="0">
    <w:nsid w:val="38247641"/>
    <w:multiLevelType w:val="hybridMultilevel"/>
    <w:tmpl w:val="FB8E19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38EC6FEB"/>
    <w:multiLevelType w:val="hybridMultilevel"/>
    <w:tmpl w:val="CB04F20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406777D3"/>
    <w:multiLevelType w:val="hybridMultilevel"/>
    <w:tmpl w:val="11AAE2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4C675283"/>
    <w:multiLevelType w:val="hybridMultilevel"/>
    <w:tmpl w:val="423ED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950F46"/>
    <w:multiLevelType w:val="hybridMultilevel"/>
    <w:tmpl w:val="62AA9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D30A2C"/>
    <w:multiLevelType w:val="hybridMultilevel"/>
    <w:tmpl w:val="577C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096BA1"/>
    <w:multiLevelType w:val="hybridMultilevel"/>
    <w:tmpl w:val="BD5629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9E7337B"/>
    <w:multiLevelType w:val="hybridMultilevel"/>
    <w:tmpl w:val="5F969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94581A"/>
    <w:multiLevelType w:val="multilevel"/>
    <w:tmpl w:val="2C78709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6C0546"/>
    <w:multiLevelType w:val="multilevel"/>
    <w:tmpl w:val="13DC61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A872BE"/>
    <w:multiLevelType w:val="multilevel"/>
    <w:tmpl w:val="711CDD88"/>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A2373BD"/>
    <w:multiLevelType w:val="hybridMultilevel"/>
    <w:tmpl w:val="DB749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C1698A"/>
    <w:multiLevelType w:val="hybridMultilevel"/>
    <w:tmpl w:val="5532E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FC3FC9"/>
    <w:multiLevelType w:val="multilevel"/>
    <w:tmpl w:val="94F029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E658C0"/>
    <w:multiLevelType w:val="hybridMultilevel"/>
    <w:tmpl w:val="51F239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8"/>
  </w:num>
  <w:num w:numId="2">
    <w:abstractNumId w:val="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
  </w:num>
  <w:num w:numId="7">
    <w:abstractNumId w:val="22"/>
  </w:num>
  <w:num w:numId="8">
    <w:abstractNumId w:val="2"/>
  </w:num>
  <w:num w:numId="9">
    <w:abstractNumId w:val="23"/>
  </w:num>
  <w:num w:numId="10">
    <w:abstractNumId w:val="21"/>
  </w:num>
  <w:num w:numId="11">
    <w:abstractNumId w:val="25"/>
  </w:num>
  <w:num w:numId="12">
    <w:abstractNumId w:val="15"/>
  </w:num>
  <w:num w:numId="13">
    <w:abstractNumId w:val="6"/>
  </w:num>
  <w:num w:numId="14">
    <w:abstractNumId w:val="16"/>
  </w:num>
  <w:num w:numId="15">
    <w:abstractNumId w:val="0"/>
  </w:num>
  <w:num w:numId="16">
    <w:abstractNumId w:val="12"/>
  </w:num>
  <w:num w:numId="17">
    <w:abstractNumId w:val="5"/>
  </w:num>
  <w:num w:numId="18">
    <w:abstractNumId w:val="18"/>
  </w:num>
  <w:num w:numId="19">
    <w:abstractNumId w:val="11"/>
  </w:num>
  <w:num w:numId="20">
    <w:abstractNumId w:val="7"/>
  </w:num>
  <w:num w:numId="21">
    <w:abstractNumId w:val="9"/>
  </w:num>
  <w:num w:numId="22">
    <w:abstractNumId w:val="24"/>
  </w:num>
  <w:num w:numId="23">
    <w:abstractNumId w:val="20"/>
  </w:num>
  <w:num w:numId="24">
    <w:abstractNumId w:val="19"/>
  </w:num>
  <w:num w:numId="25">
    <w:abstractNumId w:val="14"/>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28"/>
    <w:rsid w:val="00013785"/>
    <w:rsid w:val="00035278"/>
    <w:rsid w:val="0004299E"/>
    <w:rsid w:val="00045B12"/>
    <w:rsid w:val="000627E5"/>
    <w:rsid w:val="000A3495"/>
    <w:rsid w:val="000B274B"/>
    <w:rsid w:val="000D605D"/>
    <w:rsid w:val="000E66E3"/>
    <w:rsid w:val="000F75E0"/>
    <w:rsid w:val="001017F5"/>
    <w:rsid w:val="00103826"/>
    <w:rsid w:val="0012557E"/>
    <w:rsid w:val="001451AC"/>
    <w:rsid w:val="00150743"/>
    <w:rsid w:val="00192487"/>
    <w:rsid w:val="0019544B"/>
    <w:rsid w:val="001E3101"/>
    <w:rsid w:val="001E6BEF"/>
    <w:rsid w:val="001F0455"/>
    <w:rsid w:val="002723A8"/>
    <w:rsid w:val="00285843"/>
    <w:rsid w:val="002A6638"/>
    <w:rsid w:val="002B7BE6"/>
    <w:rsid w:val="002C0F9C"/>
    <w:rsid w:val="002D5CA9"/>
    <w:rsid w:val="002E28E6"/>
    <w:rsid w:val="002F2BBF"/>
    <w:rsid w:val="003024C2"/>
    <w:rsid w:val="0032208A"/>
    <w:rsid w:val="00325D54"/>
    <w:rsid w:val="0032791B"/>
    <w:rsid w:val="00335C37"/>
    <w:rsid w:val="00344E40"/>
    <w:rsid w:val="00360132"/>
    <w:rsid w:val="00364046"/>
    <w:rsid w:val="0038533C"/>
    <w:rsid w:val="00393CE9"/>
    <w:rsid w:val="003B222F"/>
    <w:rsid w:val="003B796D"/>
    <w:rsid w:val="003C49A4"/>
    <w:rsid w:val="003E74FB"/>
    <w:rsid w:val="00403F9C"/>
    <w:rsid w:val="00421BAA"/>
    <w:rsid w:val="00444C9A"/>
    <w:rsid w:val="00445E06"/>
    <w:rsid w:val="004478CA"/>
    <w:rsid w:val="00452BA5"/>
    <w:rsid w:val="00460428"/>
    <w:rsid w:val="00484B76"/>
    <w:rsid w:val="00494527"/>
    <w:rsid w:val="00494879"/>
    <w:rsid w:val="004A3E45"/>
    <w:rsid w:val="004A43D8"/>
    <w:rsid w:val="004A53F8"/>
    <w:rsid w:val="004B0549"/>
    <w:rsid w:val="004B7C30"/>
    <w:rsid w:val="004E2073"/>
    <w:rsid w:val="00507D3C"/>
    <w:rsid w:val="00510FA2"/>
    <w:rsid w:val="00515ABF"/>
    <w:rsid w:val="00517174"/>
    <w:rsid w:val="00543FD1"/>
    <w:rsid w:val="0054458C"/>
    <w:rsid w:val="00566E04"/>
    <w:rsid w:val="00595F80"/>
    <w:rsid w:val="005A49DD"/>
    <w:rsid w:val="005B2BBE"/>
    <w:rsid w:val="005B6825"/>
    <w:rsid w:val="005B7B60"/>
    <w:rsid w:val="005D190C"/>
    <w:rsid w:val="005D63A5"/>
    <w:rsid w:val="00600491"/>
    <w:rsid w:val="00604561"/>
    <w:rsid w:val="00612D1B"/>
    <w:rsid w:val="00616FC6"/>
    <w:rsid w:val="00627386"/>
    <w:rsid w:val="006371F4"/>
    <w:rsid w:val="00640791"/>
    <w:rsid w:val="00650682"/>
    <w:rsid w:val="006535F3"/>
    <w:rsid w:val="006616E1"/>
    <w:rsid w:val="006673C6"/>
    <w:rsid w:val="00687940"/>
    <w:rsid w:val="006965A3"/>
    <w:rsid w:val="006A365B"/>
    <w:rsid w:val="006D5515"/>
    <w:rsid w:val="006F3836"/>
    <w:rsid w:val="00714296"/>
    <w:rsid w:val="00741E6C"/>
    <w:rsid w:val="00747E01"/>
    <w:rsid w:val="007616AE"/>
    <w:rsid w:val="007633FD"/>
    <w:rsid w:val="007641AC"/>
    <w:rsid w:val="00777727"/>
    <w:rsid w:val="007B483A"/>
    <w:rsid w:val="007D4E93"/>
    <w:rsid w:val="007E5DE8"/>
    <w:rsid w:val="007F3257"/>
    <w:rsid w:val="008105D7"/>
    <w:rsid w:val="008178BB"/>
    <w:rsid w:val="00846D12"/>
    <w:rsid w:val="00854045"/>
    <w:rsid w:val="008A55F0"/>
    <w:rsid w:val="008B4492"/>
    <w:rsid w:val="008B5740"/>
    <w:rsid w:val="008D0E5D"/>
    <w:rsid w:val="008F468F"/>
    <w:rsid w:val="00912C39"/>
    <w:rsid w:val="00922691"/>
    <w:rsid w:val="00932668"/>
    <w:rsid w:val="009536F6"/>
    <w:rsid w:val="009630A5"/>
    <w:rsid w:val="009C138F"/>
    <w:rsid w:val="009D0706"/>
    <w:rsid w:val="009D2DB3"/>
    <w:rsid w:val="009E63E0"/>
    <w:rsid w:val="009F5636"/>
    <w:rsid w:val="009F5869"/>
    <w:rsid w:val="00A0446A"/>
    <w:rsid w:val="00A373C6"/>
    <w:rsid w:val="00A752C1"/>
    <w:rsid w:val="00A80AB6"/>
    <w:rsid w:val="00A8301F"/>
    <w:rsid w:val="00AA0717"/>
    <w:rsid w:val="00AE4A1B"/>
    <w:rsid w:val="00AE78FF"/>
    <w:rsid w:val="00AF450F"/>
    <w:rsid w:val="00AF4C9D"/>
    <w:rsid w:val="00B0601B"/>
    <w:rsid w:val="00B25A0D"/>
    <w:rsid w:val="00B337A8"/>
    <w:rsid w:val="00B52272"/>
    <w:rsid w:val="00B66356"/>
    <w:rsid w:val="00B70308"/>
    <w:rsid w:val="00B81245"/>
    <w:rsid w:val="00B81F0A"/>
    <w:rsid w:val="00BB61D3"/>
    <w:rsid w:val="00BD0721"/>
    <w:rsid w:val="00BF157F"/>
    <w:rsid w:val="00BF294D"/>
    <w:rsid w:val="00C039F7"/>
    <w:rsid w:val="00C208C6"/>
    <w:rsid w:val="00C36552"/>
    <w:rsid w:val="00C3750F"/>
    <w:rsid w:val="00C4026D"/>
    <w:rsid w:val="00C433D8"/>
    <w:rsid w:val="00C61191"/>
    <w:rsid w:val="00C93260"/>
    <w:rsid w:val="00C941E7"/>
    <w:rsid w:val="00C95C25"/>
    <w:rsid w:val="00CA1F57"/>
    <w:rsid w:val="00CC205F"/>
    <w:rsid w:val="00CC4EAF"/>
    <w:rsid w:val="00CC5647"/>
    <w:rsid w:val="00CD55B5"/>
    <w:rsid w:val="00D01EF0"/>
    <w:rsid w:val="00D12740"/>
    <w:rsid w:val="00D1569C"/>
    <w:rsid w:val="00D7599F"/>
    <w:rsid w:val="00D818C2"/>
    <w:rsid w:val="00DA6A51"/>
    <w:rsid w:val="00DD2F4E"/>
    <w:rsid w:val="00DE0D41"/>
    <w:rsid w:val="00DF2B65"/>
    <w:rsid w:val="00DF3749"/>
    <w:rsid w:val="00E01518"/>
    <w:rsid w:val="00E36BDB"/>
    <w:rsid w:val="00E81497"/>
    <w:rsid w:val="00EB4225"/>
    <w:rsid w:val="00EC5A95"/>
    <w:rsid w:val="00ED0AB1"/>
    <w:rsid w:val="00ED131E"/>
    <w:rsid w:val="00ED6954"/>
    <w:rsid w:val="00EE28AB"/>
    <w:rsid w:val="00EF7309"/>
    <w:rsid w:val="00F50445"/>
    <w:rsid w:val="00F9508E"/>
    <w:rsid w:val="00FC237F"/>
    <w:rsid w:val="00FF3E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82374-4A26-4987-B721-E26BC91E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428"/>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1451AC"/>
    <w:rPr>
      <w:color w:val="0563C1"/>
      <w:u w:val="single"/>
    </w:rPr>
  </w:style>
  <w:style w:type="paragraph" w:styleId="BodyText">
    <w:name w:val="Body Text"/>
    <w:basedOn w:val="Normal"/>
    <w:link w:val="BodyTextChar"/>
    <w:uiPriority w:val="1"/>
    <w:qFormat/>
    <w:rsid w:val="00627386"/>
    <w:pPr>
      <w:widowControl w:val="0"/>
      <w:spacing w:after="0" w:line="240" w:lineRule="auto"/>
      <w:ind w:left="831" w:hanging="360"/>
    </w:pPr>
    <w:rPr>
      <w:rFonts w:ascii="Calibri" w:eastAsia="Calibri" w:hAnsi="Calibri"/>
      <w:sz w:val="21"/>
      <w:szCs w:val="21"/>
      <w:lang w:val="en-US"/>
    </w:rPr>
  </w:style>
  <w:style w:type="character" w:customStyle="1" w:styleId="BodyTextChar">
    <w:name w:val="Body Text Char"/>
    <w:basedOn w:val="DefaultParagraphFont"/>
    <w:link w:val="BodyText"/>
    <w:uiPriority w:val="1"/>
    <w:rsid w:val="00627386"/>
    <w:rPr>
      <w:rFonts w:ascii="Calibri" w:eastAsia="Calibri" w:hAnsi="Calibri"/>
      <w:sz w:val="21"/>
      <w:szCs w:val="21"/>
      <w:lang w:val="en-US"/>
    </w:rPr>
  </w:style>
  <w:style w:type="table" w:styleId="TableGrid">
    <w:name w:val="Table Grid"/>
    <w:basedOn w:val="TableNormal"/>
    <w:uiPriority w:val="59"/>
    <w:rsid w:val="007D4E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5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944765">
      <w:bodyDiv w:val="1"/>
      <w:marLeft w:val="0"/>
      <w:marRight w:val="0"/>
      <w:marTop w:val="0"/>
      <w:marBottom w:val="0"/>
      <w:divBdr>
        <w:top w:val="none" w:sz="0" w:space="0" w:color="auto"/>
        <w:left w:val="none" w:sz="0" w:space="0" w:color="auto"/>
        <w:bottom w:val="none" w:sz="0" w:space="0" w:color="auto"/>
        <w:right w:val="none" w:sz="0" w:space="0" w:color="auto"/>
      </w:divBdr>
    </w:div>
    <w:div w:id="883444846">
      <w:bodyDiv w:val="1"/>
      <w:marLeft w:val="0"/>
      <w:marRight w:val="0"/>
      <w:marTop w:val="0"/>
      <w:marBottom w:val="0"/>
      <w:divBdr>
        <w:top w:val="none" w:sz="0" w:space="0" w:color="auto"/>
        <w:left w:val="none" w:sz="0" w:space="0" w:color="auto"/>
        <w:bottom w:val="none" w:sz="0" w:space="0" w:color="auto"/>
        <w:right w:val="none" w:sz="0" w:space="0" w:color="auto"/>
      </w:divBdr>
    </w:div>
    <w:div w:id="1471745948">
      <w:bodyDiv w:val="1"/>
      <w:marLeft w:val="0"/>
      <w:marRight w:val="0"/>
      <w:marTop w:val="0"/>
      <w:marBottom w:val="0"/>
      <w:divBdr>
        <w:top w:val="none" w:sz="0" w:space="0" w:color="auto"/>
        <w:left w:val="none" w:sz="0" w:space="0" w:color="auto"/>
        <w:bottom w:val="none" w:sz="0" w:space="0" w:color="auto"/>
        <w:right w:val="none" w:sz="0" w:space="0" w:color="auto"/>
      </w:divBdr>
    </w:div>
    <w:div w:id="20638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tomerservice@convergeintl.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Aroha Hanley</dc:creator>
  <cp:keywords/>
  <dc:description/>
  <cp:lastModifiedBy>Cate Page</cp:lastModifiedBy>
  <cp:revision>2</cp:revision>
  <dcterms:created xsi:type="dcterms:W3CDTF">2019-07-11T06:35:00Z</dcterms:created>
  <dcterms:modified xsi:type="dcterms:W3CDTF">2019-07-11T06:35:00Z</dcterms:modified>
</cp:coreProperties>
</file>