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87F" w:rsidRDefault="0060287F">
      <w:pPr>
        <w:rPr>
          <w:b/>
          <w:lang w:val="en-AU"/>
        </w:rPr>
      </w:pPr>
      <w:r>
        <w:rPr>
          <w:b/>
          <w:lang w:val="en-AU"/>
        </w:rPr>
        <w:t xml:space="preserve">                                                   EAP Plus Services</w:t>
      </w:r>
    </w:p>
    <w:p w:rsidR="0053374A" w:rsidRPr="0060287F" w:rsidRDefault="001E754B">
      <w:pPr>
        <w:rPr>
          <w:b/>
          <w:lang w:val="en-AU"/>
        </w:rPr>
      </w:pPr>
      <w:r>
        <w:rPr>
          <w:b/>
          <w:lang w:val="en-AU"/>
        </w:rPr>
        <w:t xml:space="preserve">                                              </w:t>
      </w:r>
      <w:r w:rsidR="00426EAF" w:rsidRPr="0060287F">
        <w:rPr>
          <w:b/>
          <w:lang w:val="en-AU"/>
        </w:rPr>
        <w:t xml:space="preserve">Extended EAP Service </w:t>
      </w:r>
    </w:p>
    <w:p w:rsidR="00426EAF" w:rsidRDefault="001E754B">
      <w:pPr>
        <w:rPr>
          <w:b/>
          <w:lang w:val="en-AU"/>
        </w:rPr>
      </w:pPr>
      <w:r>
        <w:rPr>
          <w:b/>
          <w:lang w:val="en-AU"/>
        </w:rPr>
        <w:t xml:space="preserve">                                              </w:t>
      </w:r>
      <w:r w:rsidR="00426EAF" w:rsidRPr="0060287F">
        <w:rPr>
          <w:b/>
          <w:lang w:val="en-AU"/>
        </w:rPr>
        <w:t>Consultant Brief (Draft)</w:t>
      </w:r>
    </w:p>
    <w:p w:rsidR="000A484F" w:rsidRPr="000A484F" w:rsidRDefault="000A484F" w:rsidP="00F52864">
      <w:pPr>
        <w:rPr>
          <w:rFonts w:cstheme="minorHAnsi"/>
          <w:b/>
          <w:color w:val="1D9AD6"/>
          <w:sz w:val="24"/>
          <w:szCs w:val="32"/>
          <w:lang w:val="en-AU"/>
        </w:rPr>
      </w:pPr>
      <w:r w:rsidRPr="000A484F">
        <w:rPr>
          <w:rFonts w:cstheme="minorHAnsi"/>
          <w:b/>
          <w:color w:val="1D9AD6"/>
          <w:sz w:val="24"/>
          <w:szCs w:val="32"/>
          <w:lang w:val="en-AU"/>
        </w:rPr>
        <w:t>P</w:t>
      </w:r>
      <w:r>
        <w:rPr>
          <w:rFonts w:cstheme="minorHAnsi"/>
          <w:b/>
          <w:color w:val="1D9AD6"/>
          <w:sz w:val="24"/>
          <w:szCs w:val="32"/>
          <w:lang w:val="en-AU"/>
        </w:rPr>
        <w:t>URPOSE OF EXTENDED COUNSELLING</w:t>
      </w:r>
    </w:p>
    <w:p w:rsidR="00F52864" w:rsidRDefault="00F52864" w:rsidP="00F52864">
      <w:pPr>
        <w:rPr>
          <w:lang w:val="en-AU"/>
        </w:rPr>
      </w:pPr>
      <w:r>
        <w:rPr>
          <w:lang w:val="en-AU"/>
        </w:rPr>
        <w:t xml:space="preserve">Extended Counselling is </w:t>
      </w:r>
      <w:r>
        <w:rPr>
          <w:lang w:val="en-AU"/>
        </w:rPr>
        <w:t>a service allowing extended support to be provided to employees and their families (where contractually relevant)</w:t>
      </w:r>
      <w:r>
        <w:rPr>
          <w:lang w:val="en-AU"/>
        </w:rPr>
        <w:t xml:space="preserve"> in the following contexts:</w:t>
      </w:r>
    </w:p>
    <w:p w:rsidR="00F52864" w:rsidRDefault="00F52864" w:rsidP="00F52864">
      <w:pPr>
        <w:pStyle w:val="ListParagraph"/>
        <w:numPr>
          <w:ilvl w:val="0"/>
          <w:numId w:val="10"/>
        </w:numPr>
        <w:spacing w:after="160" w:line="259" w:lineRule="auto"/>
        <w:contextualSpacing/>
        <w:rPr>
          <w:lang w:val="en-AU"/>
        </w:rPr>
      </w:pPr>
      <w:r>
        <w:rPr>
          <w:lang w:val="en-AU"/>
        </w:rPr>
        <w:t xml:space="preserve">Where support is believed to be in the best interests of the employee </w:t>
      </w:r>
      <w:r w:rsidRPr="00813407">
        <w:rPr>
          <w:b/>
          <w:lang w:val="en-AU"/>
        </w:rPr>
        <w:t>and</w:t>
      </w:r>
      <w:r>
        <w:rPr>
          <w:lang w:val="en-AU"/>
        </w:rPr>
        <w:t xml:space="preserve"> employer and is outside the brief intervention option of a standard Employee Assist allocation.</w:t>
      </w:r>
    </w:p>
    <w:p w:rsidR="00F52864" w:rsidRPr="001C39BF" w:rsidRDefault="00F52864" w:rsidP="00F52864">
      <w:pPr>
        <w:pStyle w:val="ListParagraph"/>
        <w:numPr>
          <w:ilvl w:val="0"/>
          <w:numId w:val="10"/>
        </w:numPr>
        <w:spacing w:after="160" w:line="259" w:lineRule="auto"/>
        <w:contextualSpacing/>
        <w:rPr>
          <w:lang w:val="en-AU"/>
        </w:rPr>
      </w:pPr>
      <w:r>
        <w:rPr>
          <w:lang w:val="en-AU"/>
        </w:rPr>
        <w:t>Where regional resourcing issues preclude the referral of clients beyond the standard EAP allocation and service requirements cannot be met under CVI “extra sessions” guidelines and Employers are willing to fund an “extended” service.</w:t>
      </w:r>
    </w:p>
    <w:p w:rsidR="00F52864" w:rsidRDefault="00F52864" w:rsidP="00F52864">
      <w:pPr>
        <w:pStyle w:val="ListParagraph"/>
        <w:numPr>
          <w:ilvl w:val="0"/>
          <w:numId w:val="10"/>
        </w:numPr>
        <w:spacing w:after="160" w:line="259" w:lineRule="auto"/>
        <w:contextualSpacing/>
        <w:rPr>
          <w:lang w:val="en-AU"/>
        </w:rPr>
      </w:pPr>
      <w:r>
        <w:rPr>
          <w:lang w:val="en-AU"/>
        </w:rPr>
        <w:t>Where an employer has expressed a desire to offer ongoing support to an employee beyond initial service allocation that is outside the scope of other ‘support services” (Workplace Coaching/Directed Away services).</w:t>
      </w:r>
    </w:p>
    <w:p w:rsidR="00F52864" w:rsidRPr="000731C1" w:rsidRDefault="00F52864" w:rsidP="00F52864">
      <w:pPr>
        <w:pStyle w:val="ListParagraph"/>
        <w:numPr>
          <w:ilvl w:val="0"/>
          <w:numId w:val="10"/>
        </w:numPr>
        <w:spacing w:after="160" w:line="259" w:lineRule="auto"/>
        <w:contextualSpacing/>
        <w:rPr>
          <w:lang w:val="en-AU"/>
        </w:rPr>
      </w:pPr>
      <w:r w:rsidRPr="000731C1">
        <w:rPr>
          <w:lang w:val="en-AU"/>
        </w:rPr>
        <w:t>As a one off service where standard Employee Assist Service is not part of the contracted service deliver</w:t>
      </w:r>
      <w:r>
        <w:rPr>
          <w:lang w:val="en-AU"/>
        </w:rPr>
        <w:t>y with the client organisation.</w:t>
      </w:r>
    </w:p>
    <w:p w:rsidR="00F52864" w:rsidRPr="0060287F" w:rsidRDefault="00F52864">
      <w:pPr>
        <w:rPr>
          <w:b/>
          <w:lang w:val="en-AU"/>
        </w:rPr>
      </w:pPr>
    </w:p>
    <w:p w:rsidR="0060287F" w:rsidRPr="000A484F" w:rsidRDefault="000A484F" w:rsidP="00F52864">
      <w:pPr>
        <w:rPr>
          <w:rFonts w:cstheme="minorHAnsi"/>
          <w:b/>
          <w:color w:val="1D9AD6"/>
          <w:sz w:val="24"/>
          <w:szCs w:val="32"/>
          <w:lang w:val="en-AU"/>
        </w:rPr>
      </w:pPr>
      <w:r>
        <w:rPr>
          <w:rFonts w:cstheme="minorHAnsi"/>
          <w:b/>
          <w:color w:val="1D9AD6"/>
          <w:sz w:val="24"/>
          <w:szCs w:val="32"/>
          <w:lang w:val="en-AU"/>
        </w:rPr>
        <w:t>INTERVENTION MODEL</w:t>
      </w:r>
    </w:p>
    <w:p w:rsidR="0060287F" w:rsidRPr="004A6B89" w:rsidRDefault="0060287F" w:rsidP="0060287F">
      <w:pPr>
        <w:rPr>
          <w:color w:val="FF0000"/>
          <w:lang w:val="en-AU"/>
        </w:rPr>
      </w:pPr>
      <w:r w:rsidRPr="004A6B89">
        <w:rPr>
          <w:color w:val="FF0000"/>
          <w:lang w:val="en-AU"/>
        </w:rPr>
        <w:t xml:space="preserve">As with the Employee Assist Service, the “Extended Service” delivery model targets those current concerns and contexts being experienced by clients and potentially impacting wellbeing. </w:t>
      </w:r>
    </w:p>
    <w:p w:rsidR="0060287F" w:rsidRPr="004A6B89" w:rsidRDefault="0060287F" w:rsidP="0060287F">
      <w:pPr>
        <w:rPr>
          <w:color w:val="FF0000"/>
          <w:lang w:val="en-AU"/>
        </w:rPr>
      </w:pPr>
      <w:r w:rsidRPr="004A6B89">
        <w:rPr>
          <w:color w:val="FF0000"/>
          <w:lang w:val="en-AU"/>
        </w:rPr>
        <w:t xml:space="preserve">The purpose and aspiration of the service is to foster and support personal and workplace functionality and psychological independence in individuals and families where a finite level of support beyond the standard Employee/Family Assist allocation is in the best interests of both employee and employer. </w:t>
      </w:r>
    </w:p>
    <w:p w:rsidR="006A6832" w:rsidRPr="004A6B89" w:rsidRDefault="006A6832" w:rsidP="0060287F">
      <w:pPr>
        <w:rPr>
          <w:color w:val="FF0000"/>
          <w:lang w:val="en-AU"/>
        </w:rPr>
      </w:pPr>
      <w:r w:rsidRPr="004A6B89">
        <w:rPr>
          <w:color w:val="FF0000"/>
          <w:lang w:val="en-AU"/>
        </w:rPr>
        <w:t>The model has been developed to offer a service that extends the usual Employee/Family Assist allocation where appropriate and in the best interests of all stakeholders.</w:t>
      </w:r>
    </w:p>
    <w:p w:rsidR="0060287F" w:rsidRPr="004A6B89" w:rsidRDefault="0060287F" w:rsidP="0060287F">
      <w:pPr>
        <w:rPr>
          <w:color w:val="FF0000"/>
          <w:lang w:val="en-AU"/>
        </w:rPr>
      </w:pPr>
      <w:r w:rsidRPr="004A6B89">
        <w:rPr>
          <w:color w:val="FF0000"/>
          <w:lang w:val="en-AU"/>
        </w:rPr>
        <w:t>Intervention remains goal orientated and solution focussed. Strategies and tools designed to enhance resilience and empower clients are central to service delivery.</w:t>
      </w:r>
    </w:p>
    <w:p w:rsidR="0060287F" w:rsidRPr="004A6B89" w:rsidRDefault="0060287F" w:rsidP="0060287F">
      <w:pPr>
        <w:rPr>
          <w:rFonts w:cstheme="minorHAnsi"/>
          <w:color w:val="FF0000"/>
        </w:rPr>
      </w:pPr>
      <w:r w:rsidRPr="004A6B89">
        <w:rPr>
          <w:color w:val="FF0000"/>
          <w:lang w:val="en-AU"/>
        </w:rPr>
        <w:t>This service</w:t>
      </w:r>
      <w:r w:rsidRPr="004A6B89">
        <w:rPr>
          <w:rFonts w:cstheme="minorHAnsi"/>
          <w:color w:val="FF0000"/>
        </w:rPr>
        <w:t xml:space="preserve"> is not intended to be, or replace, specialist mental health care support or formal long term psychological therapy. Consultants will be required to appropriately refer any high risk presentation requiring specialised intervention outside this model.</w:t>
      </w:r>
    </w:p>
    <w:p w:rsidR="0060287F" w:rsidRPr="004A6B89" w:rsidRDefault="0060287F" w:rsidP="0060287F">
      <w:pPr>
        <w:rPr>
          <w:rFonts w:cstheme="minorHAnsi"/>
          <w:color w:val="FF0000"/>
        </w:rPr>
      </w:pPr>
      <w:r w:rsidRPr="004A6B89">
        <w:rPr>
          <w:rFonts w:cstheme="minorHAnsi"/>
          <w:color w:val="FF0000"/>
        </w:rPr>
        <w:t xml:space="preserve">Consultants providing services under this model will be required to undertake clinical reviews at prescribed intervals with either the relevant state based Operations Manager or the Professional Practices Supervisor as part of service delivery. </w:t>
      </w:r>
    </w:p>
    <w:p w:rsidR="004C04B2" w:rsidRPr="00F52864" w:rsidRDefault="004C04B2" w:rsidP="0060287F">
      <w:pPr>
        <w:rPr>
          <w:rFonts w:cstheme="minorHAnsi"/>
          <w:color w:val="FF0000"/>
        </w:rPr>
      </w:pPr>
      <w:r w:rsidRPr="00F52864">
        <w:rPr>
          <w:rFonts w:cstheme="minorHAnsi"/>
          <w:color w:val="FF0000"/>
        </w:rPr>
        <w:t>The number of sessions provided in any given cycle will be inclusive of any liaison, briefing and case reviews authorised by CVI.</w:t>
      </w:r>
    </w:p>
    <w:p w:rsidR="000A484F" w:rsidRDefault="000A484F" w:rsidP="00F52864">
      <w:pPr>
        <w:rPr>
          <w:rFonts w:cstheme="minorHAnsi"/>
          <w:b/>
          <w:color w:val="1D9AD6"/>
          <w:sz w:val="24"/>
          <w:szCs w:val="32"/>
          <w:lang w:val="en-AU"/>
        </w:rPr>
      </w:pPr>
      <w:r>
        <w:rPr>
          <w:rFonts w:cstheme="minorHAnsi"/>
          <w:b/>
          <w:color w:val="1D9AD6"/>
          <w:sz w:val="24"/>
          <w:szCs w:val="32"/>
          <w:lang w:val="en-AU"/>
        </w:rPr>
        <w:t>REPORTING</w:t>
      </w:r>
    </w:p>
    <w:p w:rsidR="00475CE5" w:rsidRPr="00475CE5" w:rsidRDefault="00475CE5" w:rsidP="00475CE5">
      <w:pPr>
        <w:rPr>
          <w:color w:val="FF0000"/>
        </w:rPr>
      </w:pPr>
      <w:r w:rsidRPr="00475CE5">
        <w:rPr>
          <w:color w:val="FF0000"/>
        </w:rPr>
        <w:t>No formal feedback</w:t>
      </w:r>
      <w:bookmarkStart w:id="0" w:name="_GoBack"/>
      <w:bookmarkEnd w:id="0"/>
      <w:r w:rsidRPr="00475CE5">
        <w:rPr>
          <w:color w:val="FF0000"/>
        </w:rPr>
        <w:t xml:space="preserve"> is required as part of service delivery however the employer may nominate (at time of referral) to be provided with a “Letter of attendance”.</w:t>
      </w:r>
    </w:p>
    <w:p w:rsidR="000A484F" w:rsidRDefault="000A484F" w:rsidP="00F52864">
      <w:pPr>
        <w:rPr>
          <w:rFonts w:cstheme="minorHAnsi"/>
          <w:b/>
          <w:color w:val="1D9AD6"/>
          <w:sz w:val="24"/>
          <w:szCs w:val="32"/>
          <w:lang w:val="en-AU"/>
        </w:rPr>
      </w:pPr>
    </w:p>
    <w:p w:rsidR="009F3ABF" w:rsidRPr="000A484F" w:rsidRDefault="000A484F" w:rsidP="00F52864">
      <w:pPr>
        <w:rPr>
          <w:rFonts w:cstheme="minorHAnsi"/>
          <w:b/>
          <w:color w:val="1D9AD6"/>
          <w:sz w:val="24"/>
          <w:szCs w:val="32"/>
          <w:lang w:val="en-AU"/>
        </w:rPr>
      </w:pPr>
      <w:r>
        <w:rPr>
          <w:rFonts w:cstheme="minorHAnsi"/>
          <w:b/>
          <w:color w:val="1D9AD6"/>
          <w:sz w:val="24"/>
          <w:szCs w:val="32"/>
          <w:lang w:val="en-AU"/>
        </w:rPr>
        <w:t>SERVICE PARAMETERS</w:t>
      </w:r>
    </w:p>
    <w:p w:rsidR="00445F42" w:rsidRPr="00F52864" w:rsidRDefault="00445F42" w:rsidP="00445F42">
      <w:pPr>
        <w:pStyle w:val="ListParagraph"/>
        <w:numPr>
          <w:ilvl w:val="0"/>
          <w:numId w:val="1"/>
        </w:numPr>
        <w:rPr>
          <w:bCs/>
          <w:color w:val="FF0000"/>
        </w:rPr>
      </w:pPr>
      <w:r w:rsidRPr="00F52864">
        <w:rPr>
          <w:bCs/>
          <w:color w:val="FF0000"/>
        </w:rPr>
        <w:t xml:space="preserve">Session allocations will be predetermined by the client organisation at either a 6, 8 or 10 session </w:t>
      </w:r>
      <w:r w:rsidR="004128F1" w:rsidRPr="00F52864">
        <w:rPr>
          <w:bCs/>
          <w:color w:val="FF0000"/>
        </w:rPr>
        <w:t>cycle</w:t>
      </w:r>
      <w:r w:rsidRPr="00F52864">
        <w:rPr>
          <w:bCs/>
          <w:color w:val="FF0000"/>
        </w:rPr>
        <w:t>. An option to extend service will be advised</w:t>
      </w:r>
      <w:r w:rsidR="004128F1" w:rsidRPr="00F52864">
        <w:rPr>
          <w:bCs/>
          <w:color w:val="FF0000"/>
        </w:rPr>
        <w:t xml:space="preserve"> by the employer</w:t>
      </w:r>
      <w:r w:rsidRPr="00F52864">
        <w:rPr>
          <w:bCs/>
          <w:color w:val="FF0000"/>
        </w:rPr>
        <w:t xml:space="preserve"> at service initiation and will be dependent upon clinical review.</w:t>
      </w:r>
    </w:p>
    <w:p w:rsidR="009F3ABF" w:rsidRPr="00F52864" w:rsidRDefault="009F3ABF" w:rsidP="009F3ABF">
      <w:pPr>
        <w:pStyle w:val="ListParagraph"/>
        <w:numPr>
          <w:ilvl w:val="0"/>
          <w:numId w:val="1"/>
        </w:numPr>
        <w:rPr>
          <w:color w:val="FF0000"/>
        </w:rPr>
      </w:pPr>
      <w:r w:rsidRPr="00F52864">
        <w:rPr>
          <w:color w:val="FF0000"/>
        </w:rPr>
        <w:t xml:space="preserve">Intervention focusses on client concerns </w:t>
      </w:r>
      <w:r w:rsidRPr="00F52864">
        <w:rPr>
          <w:b/>
          <w:color w:val="FF0000"/>
        </w:rPr>
        <w:t xml:space="preserve">NOT </w:t>
      </w:r>
      <w:r w:rsidRPr="00F52864">
        <w:rPr>
          <w:color w:val="FF0000"/>
        </w:rPr>
        <w:t>employer concerns</w:t>
      </w:r>
    </w:p>
    <w:p w:rsidR="009F3ABF" w:rsidRPr="00F52864" w:rsidRDefault="009F3ABF" w:rsidP="009F3ABF">
      <w:pPr>
        <w:pStyle w:val="ListParagraph"/>
        <w:numPr>
          <w:ilvl w:val="0"/>
          <w:numId w:val="1"/>
        </w:numPr>
        <w:rPr>
          <w:color w:val="FF0000"/>
        </w:rPr>
      </w:pPr>
      <w:r w:rsidRPr="00F52864">
        <w:rPr>
          <w:color w:val="FF0000"/>
        </w:rPr>
        <w:t>Access to the service is voluntary and the client has the right to terminate contact at any time.</w:t>
      </w:r>
    </w:p>
    <w:p w:rsidR="009F3ABF" w:rsidRDefault="009F3ABF" w:rsidP="009F3ABF">
      <w:pPr>
        <w:pStyle w:val="ListParagraph"/>
        <w:numPr>
          <w:ilvl w:val="0"/>
          <w:numId w:val="1"/>
        </w:numPr>
      </w:pPr>
      <w:r w:rsidRPr="00F52864">
        <w:rPr>
          <w:color w:val="FF0000"/>
        </w:rPr>
        <w:t>Intervention remains goal orientated/solution focussed counselling.</w:t>
      </w:r>
    </w:p>
    <w:p w:rsidR="009F3ABF" w:rsidRPr="00F52864" w:rsidRDefault="00F52864" w:rsidP="009F3ABF">
      <w:pPr>
        <w:pStyle w:val="ListParagraph"/>
        <w:numPr>
          <w:ilvl w:val="0"/>
          <w:numId w:val="1"/>
        </w:numPr>
        <w:rPr>
          <w:color w:val="FF0000"/>
        </w:rPr>
      </w:pPr>
      <w:r w:rsidRPr="00F52864">
        <w:rPr>
          <w:color w:val="FF0000"/>
        </w:rPr>
        <w:t>T</w:t>
      </w:r>
      <w:r w:rsidR="00D436D4" w:rsidRPr="00F52864">
        <w:rPr>
          <w:color w:val="FF0000"/>
        </w:rPr>
        <w:t>he n</w:t>
      </w:r>
      <w:r w:rsidR="009F3ABF" w:rsidRPr="00F52864">
        <w:rPr>
          <w:color w:val="FF0000"/>
        </w:rPr>
        <w:t xml:space="preserve">umber of sessions available </w:t>
      </w:r>
      <w:r w:rsidR="00D436D4" w:rsidRPr="00F52864">
        <w:rPr>
          <w:color w:val="FF0000"/>
        </w:rPr>
        <w:t xml:space="preserve">will be </w:t>
      </w:r>
      <w:r w:rsidR="009F3ABF" w:rsidRPr="00F52864">
        <w:rPr>
          <w:color w:val="FF0000"/>
        </w:rPr>
        <w:t xml:space="preserve">determined by </w:t>
      </w:r>
      <w:r w:rsidR="00D436D4" w:rsidRPr="00F52864">
        <w:rPr>
          <w:color w:val="FF0000"/>
        </w:rPr>
        <w:t xml:space="preserve">the </w:t>
      </w:r>
      <w:r w:rsidR="009F3ABF" w:rsidRPr="00F52864">
        <w:rPr>
          <w:color w:val="FF0000"/>
        </w:rPr>
        <w:t xml:space="preserve">employer and indicated in </w:t>
      </w:r>
      <w:r w:rsidRPr="00F52864">
        <w:rPr>
          <w:color w:val="FF0000"/>
        </w:rPr>
        <w:t>the Referral</w:t>
      </w:r>
      <w:r w:rsidR="009F3ABF" w:rsidRPr="00F52864">
        <w:rPr>
          <w:color w:val="FF0000"/>
        </w:rPr>
        <w:t xml:space="preserve"> Form.  Intervention must be tailored to session number including discussion/facilitation for external referral if deemed appropriate. </w:t>
      </w:r>
    </w:p>
    <w:p w:rsidR="00F52864" w:rsidRPr="00F52864" w:rsidRDefault="009F3ABF" w:rsidP="00F52864">
      <w:pPr>
        <w:pStyle w:val="ListParagraph"/>
        <w:numPr>
          <w:ilvl w:val="0"/>
          <w:numId w:val="1"/>
        </w:numPr>
        <w:rPr>
          <w:color w:val="FF0000"/>
        </w:rPr>
      </w:pPr>
      <w:r w:rsidRPr="00F52864">
        <w:rPr>
          <w:color w:val="FF0000"/>
        </w:rPr>
        <w:t xml:space="preserve">A review will occur </w:t>
      </w:r>
      <w:r w:rsidR="00F52864" w:rsidRPr="00F52864">
        <w:rPr>
          <w:color w:val="FF0000"/>
          <w:lang w:val="en-AU"/>
        </w:rPr>
        <w:t xml:space="preserve">toward the end of a contracted cycle </w:t>
      </w:r>
      <w:r w:rsidRPr="00F52864">
        <w:rPr>
          <w:color w:val="FF0000"/>
        </w:rPr>
        <w:t xml:space="preserve">between Consultant and </w:t>
      </w:r>
      <w:r w:rsidR="00981E52" w:rsidRPr="00F52864">
        <w:rPr>
          <w:color w:val="FF0000"/>
        </w:rPr>
        <w:t xml:space="preserve">state based Operations </w:t>
      </w:r>
      <w:r w:rsidR="00F52864" w:rsidRPr="00F52864">
        <w:rPr>
          <w:color w:val="FF0000"/>
        </w:rPr>
        <w:t>M</w:t>
      </w:r>
      <w:r w:rsidR="00981E52" w:rsidRPr="00F52864">
        <w:rPr>
          <w:color w:val="FF0000"/>
        </w:rPr>
        <w:t>anager</w:t>
      </w:r>
      <w:r w:rsidRPr="00F52864">
        <w:rPr>
          <w:color w:val="FF0000"/>
        </w:rPr>
        <w:t xml:space="preserve"> </w:t>
      </w:r>
      <w:r w:rsidR="00F52864" w:rsidRPr="00F52864">
        <w:rPr>
          <w:color w:val="FF0000"/>
        </w:rPr>
        <w:t xml:space="preserve">or PPS, </w:t>
      </w:r>
      <w:r w:rsidRPr="00F52864">
        <w:rPr>
          <w:color w:val="FF0000"/>
        </w:rPr>
        <w:t xml:space="preserve">to discuss appropriate service </w:t>
      </w:r>
      <w:r w:rsidR="00481753" w:rsidRPr="00F52864">
        <w:rPr>
          <w:color w:val="FF0000"/>
        </w:rPr>
        <w:t>extension/</w:t>
      </w:r>
      <w:r w:rsidRPr="00F52864">
        <w:rPr>
          <w:color w:val="FF0000"/>
        </w:rPr>
        <w:t>termination</w:t>
      </w:r>
      <w:r w:rsidR="00481753" w:rsidRPr="00F52864">
        <w:rPr>
          <w:color w:val="FF0000"/>
        </w:rPr>
        <w:t xml:space="preserve"> and/or client referral</w:t>
      </w:r>
      <w:r w:rsidRPr="00F52864">
        <w:rPr>
          <w:color w:val="FF0000"/>
        </w:rPr>
        <w:t xml:space="preserve">. </w:t>
      </w:r>
    </w:p>
    <w:p w:rsidR="009F3ABF" w:rsidRPr="00F52864" w:rsidRDefault="00F52864" w:rsidP="00F52864">
      <w:pPr>
        <w:pStyle w:val="ListParagraph"/>
        <w:numPr>
          <w:ilvl w:val="0"/>
          <w:numId w:val="1"/>
        </w:numPr>
        <w:rPr>
          <w:color w:val="FF0000"/>
        </w:rPr>
      </w:pPr>
      <w:r w:rsidRPr="00F52864">
        <w:rPr>
          <w:color w:val="FF0000"/>
        </w:rPr>
        <w:t>T</w:t>
      </w:r>
      <w:r w:rsidR="009F3ABF" w:rsidRPr="00F52864">
        <w:rPr>
          <w:color w:val="FF0000"/>
        </w:rPr>
        <w:t>here is no guarantee of any session extension and if supported by CVI, will require authorisation by Referring Manager. This review is billable and included in the allocated session time available.</w:t>
      </w:r>
      <w:r w:rsidRPr="00F52864">
        <w:rPr>
          <w:color w:val="FF0000"/>
        </w:rPr>
        <w:t xml:space="preserve"> </w:t>
      </w:r>
      <w:r w:rsidRPr="00F52864">
        <w:rPr>
          <w:color w:val="FF0000"/>
          <w:lang w:val="en-AU"/>
        </w:rPr>
        <w:t>A</w:t>
      </w:r>
      <w:r w:rsidRPr="00F52864">
        <w:rPr>
          <w:color w:val="FF0000"/>
          <w:lang w:val="en-AU"/>
        </w:rPr>
        <w:t xml:space="preserve"> discussion between the relevant CRM and client organisation </w:t>
      </w:r>
      <w:r w:rsidRPr="00F52864">
        <w:rPr>
          <w:color w:val="FF0000"/>
          <w:lang w:val="en-AU"/>
        </w:rPr>
        <w:t>will be undertaken to gain approval from the referring manager.</w:t>
      </w:r>
    </w:p>
    <w:p w:rsidR="009F3ABF" w:rsidRPr="00F52864" w:rsidRDefault="009F3ABF" w:rsidP="009F3ABF">
      <w:pPr>
        <w:pStyle w:val="ListParagraph"/>
        <w:numPr>
          <w:ilvl w:val="0"/>
          <w:numId w:val="1"/>
        </w:numPr>
        <w:rPr>
          <w:color w:val="FF0000"/>
        </w:rPr>
      </w:pPr>
      <w:r w:rsidRPr="00F52864">
        <w:rPr>
          <w:color w:val="FF0000"/>
        </w:rPr>
        <w:t xml:space="preserve">Usual EAP service parameters apply in that service does not undertake formal psychological assessment/ diagnosis and Consultants do not provide reports or psychological opinion/comment. </w:t>
      </w:r>
    </w:p>
    <w:p w:rsidR="009F3ABF" w:rsidRPr="00F52864" w:rsidRDefault="009F3ABF" w:rsidP="009F3ABF">
      <w:pPr>
        <w:pStyle w:val="ListParagraph"/>
        <w:numPr>
          <w:ilvl w:val="0"/>
          <w:numId w:val="1"/>
        </w:numPr>
        <w:rPr>
          <w:color w:val="FF0000"/>
        </w:rPr>
      </w:pPr>
      <w:r w:rsidRPr="00F52864">
        <w:rPr>
          <w:color w:val="FF0000"/>
        </w:rPr>
        <w:t>Consultants must remain neutral at interface of workplace matters and not advocate on behalf of any stakeholder in these matters.</w:t>
      </w:r>
    </w:p>
    <w:p w:rsidR="009E5D90" w:rsidRDefault="009E5D90" w:rsidP="009E5D90">
      <w:pPr>
        <w:pStyle w:val="ListParagraph"/>
        <w:numPr>
          <w:ilvl w:val="0"/>
          <w:numId w:val="1"/>
        </w:numPr>
        <w:spacing w:after="160" w:line="259" w:lineRule="auto"/>
        <w:contextualSpacing/>
        <w:rPr>
          <w:color w:val="FF0000"/>
          <w:lang w:val="en-AU"/>
        </w:rPr>
      </w:pPr>
      <w:r w:rsidRPr="00F52864">
        <w:rPr>
          <w:color w:val="FF0000"/>
          <w:lang w:val="en-AU"/>
        </w:rPr>
        <w:t xml:space="preserve">Some advocacy outside workplace issues and liaison with other health professionals (on and off site) </w:t>
      </w:r>
      <w:r w:rsidRPr="00F52864">
        <w:rPr>
          <w:b/>
          <w:color w:val="FF0000"/>
          <w:lang w:val="en-AU"/>
        </w:rPr>
        <w:t xml:space="preserve">may </w:t>
      </w:r>
      <w:r w:rsidRPr="00F52864">
        <w:rPr>
          <w:color w:val="FF0000"/>
          <w:lang w:val="en-AU"/>
        </w:rPr>
        <w:t>be necessitated in the context of an extended service delivery and must be discussed with, and approved by, the relevant Operations Manager</w:t>
      </w:r>
      <w:r w:rsidR="00446AFD">
        <w:rPr>
          <w:color w:val="FF0000"/>
          <w:lang w:val="en-AU"/>
        </w:rPr>
        <w:t xml:space="preserve"> or PPS</w:t>
      </w:r>
      <w:r w:rsidRPr="00F52864">
        <w:rPr>
          <w:color w:val="FF0000"/>
          <w:lang w:val="en-AU"/>
        </w:rPr>
        <w:t>.</w:t>
      </w:r>
    </w:p>
    <w:p w:rsidR="00446AFD" w:rsidRPr="00E116A9" w:rsidRDefault="00446AFD" w:rsidP="00446AFD">
      <w:pPr>
        <w:pStyle w:val="ListParagraph"/>
        <w:numPr>
          <w:ilvl w:val="0"/>
          <w:numId w:val="1"/>
        </w:numPr>
        <w:spacing w:after="160" w:line="259" w:lineRule="auto"/>
        <w:contextualSpacing/>
        <w:rPr>
          <w:color w:val="FF0000"/>
          <w:lang w:val="en-AU"/>
        </w:rPr>
      </w:pPr>
      <w:r w:rsidRPr="00E116A9">
        <w:rPr>
          <w:color w:val="FF0000"/>
          <w:lang w:val="en-AU"/>
        </w:rPr>
        <w:t xml:space="preserve">The service </w:t>
      </w:r>
      <w:r w:rsidRPr="00E116A9">
        <w:rPr>
          <w:b/>
          <w:color w:val="FF0000"/>
          <w:lang w:val="en-AU"/>
        </w:rPr>
        <w:t>IS</w:t>
      </w:r>
      <w:r w:rsidRPr="00E116A9">
        <w:rPr>
          <w:color w:val="FF0000"/>
          <w:lang w:val="en-AU"/>
        </w:rPr>
        <w:t xml:space="preserve"> time limited in that, as noted above, the focus of contact will be to empower resilience and support self- reliance in the client(s). Clients will be provided with information outlining service parameters and factors guiding termination of service as part of “informed consent” upon initial contact. Wherever possible CVI must endeavour to seek clarity from the client organisation in relation to any capitation on service delivery. </w:t>
      </w:r>
    </w:p>
    <w:p w:rsidR="00446AFD" w:rsidRPr="00E116A9" w:rsidRDefault="00446AFD" w:rsidP="00446AFD">
      <w:pPr>
        <w:pStyle w:val="ListParagraph"/>
        <w:numPr>
          <w:ilvl w:val="0"/>
          <w:numId w:val="1"/>
        </w:numPr>
        <w:spacing w:after="160" w:line="259" w:lineRule="auto"/>
        <w:contextualSpacing/>
        <w:rPr>
          <w:color w:val="FF0000"/>
          <w:lang w:val="en-AU"/>
        </w:rPr>
      </w:pPr>
      <w:r w:rsidRPr="00E116A9">
        <w:rPr>
          <w:color w:val="FF0000"/>
          <w:lang w:val="en-AU"/>
        </w:rPr>
        <w:t>service is differentiated from other EAP Plus options in that the primary client remains the employee and/or family member(s) and the focus of service delivery is governed by those goals negotiated between the client(s) and attending Consultant NOT by the employer. (Should an employer have specific concerns in relation to an employee that they wish discussed then they must be directed to another EAP Plus Services).</w:t>
      </w:r>
    </w:p>
    <w:p w:rsidR="00446AFD" w:rsidRPr="00F52864" w:rsidRDefault="00446AFD" w:rsidP="009E5D90">
      <w:pPr>
        <w:pStyle w:val="ListParagraph"/>
        <w:numPr>
          <w:ilvl w:val="0"/>
          <w:numId w:val="1"/>
        </w:numPr>
        <w:spacing w:after="160" w:line="259" w:lineRule="auto"/>
        <w:contextualSpacing/>
        <w:rPr>
          <w:color w:val="FF0000"/>
          <w:lang w:val="en-AU"/>
        </w:rPr>
      </w:pPr>
    </w:p>
    <w:p w:rsidR="009E5D90" w:rsidRPr="00E116A9" w:rsidRDefault="009E5D90" w:rsidP="009E5D90">
      <w:pPr>
        <w:pStyle w:val="ListParagraph"/>
        <w:rPr>
          <w:color w:val="FF0000"/>
        </w:rPr>
      </w:pPr>
    </w:p>
    <w:p w:rsidR="009F3ABF" w:rsidRPr="000A484F" w:rsidRDefault="000A484F" w:rsidP="00E116A9">
      <w:pPr>
        <w:rPr>
          <w:rFonts w:cstheme="minorHAnsi"/>
          <w:b/>
          <w:color w:val="1D9AD6"/>
          <w:sz w:val="24"/>
          <w:szCs w:val="32"/>
          <w:lang w:val="en-AU"/>
        </w:rPr>
      </w:pPr>
      <w:r>
        <w:rPr>
          <w:rFonts w:cstheme="minorHAnsi"/>
          <w:b/>
          <w:color w:val="1D9AD6"/>
          <w:sz w:val="24"/>
          <w:szCs w:val="32"/>
          <w:lang w:val="en-AU"/>
        </w:rPr>
        <w:t>CONFIDENTIALITY</w:t>
      </w:r>
    </w:p>
    <w:p w:rsidR="009F3ABF" w:rsidRPr="00E116A9" w:rsidRDefault="009F3ABF" w:rsidP="00A32DE7">
      <w:pPr>
        <w:ind w:left="360"/>
        <w:rPr>
          <w:color w:val="FF0000"/>
        </w:rPr>
      </w:pPr>
      <w:r w:rsidRPr="00E116A9">
        <w:rPr>
          <w:color w:val="FF0000"/>
        </w:rPr>
        <w:t xml:space="preserve">Privacy/Confidentiality is </w:t>
      </w:r>
      <w:r w:rsidRPr="00E116A9">
        <w:rPr>
          <w:b/>
          <w:bCs/>
          <w:color w:val="FF0000"/>
        </w:rPr>
        <w:t xml:space="preserve">NOT </w:t>
      </w:r>
      <w:r w:rsidRPr="00E116A9">
        <w:rPr>
          <w:color w:val="FF0000"/>
        </w:rPr>
        <w:t>Absolute in that;</w:t>
      </w:r>
    </w:p>
    <w:p w:rsidR="009F3ABF" w:rsidRPr="00E116A9" w:rsidRDefault="009F3ABF" w:rsidP="009F3ABF">
      <w:pPr>
        <w:pStyle w:val="ListParagraph"/>
        <w:numPr>
          <w:ilvl w:val="0"/>
          <w:numId w:val="3"/>
        </w:numPr>
        <w:rPr>
          <w:color w:val="FF0000"/>
        </w:rPr>
      </w:pPr>
      <w:r w:rsidRPr="00E116A9">
        <w:rPr>
          <w:color w:val="FF0000"/>
        </w:rPr>
        <w:t xml:space="preserve">The client is identified to the employer as part of the referral process </w:t>
      </w:r>
    </w:p>
    <w:p w:rsidR="009F3ABF" w:rsidRPr="00E116A9" w:rsidRDefault="009F3ABF" w:rsidP="009F3ABF">
      <w:pPr>
        <w:pStyle w:val="ListParagraph"/>
        <w:numPr>
          <w:ilvl w:val="0"/>
          <w:numId w:val="3"/>
        </w:numPr>
        <w:rPr>
          <w:b/>
          <w:color w:val="FF0000"/>
        </w:rPr>
      </w:pPr>
      <w:r w:rsidRPr="00E116A9">
        <w:rPr>
          <w:color w:val="FF0000"/>
        </w:rPr>
        <w:t>Should a request fo</w:t>
      </w:r>
      <w:r w:rsidR="00235B5A" w:rsidRPr="00E116A9">
        <w:rPr>
          <w:color w:val="FF0000"/>
        </w:rPr>
        <w:t xml:space="preserve">r an additional cycle of sessions be made, </w:t>
      </w:r>
      <w:r w:rsidRPr="00E116A9">
        <w:rPr>
          <w:color w:val="FF0000"/>
        </w:rPr>
        <w:t>some limited information may be provided to the Referring Manager in support of the request.</w:t>
      </w:r>
      <w:r w:rsidR="00235B5A" w:rsidRPr="00E116A9">
        <w:rPr>
          <w:color w:val="FF0000"/>
        </w:rPr>
        <w:t xml:space="preserve"> </w:t>
      </w:r>
      <w:r w:rsidR="00235B5A" w:rsidRPr="00E116A9">
        <w:rPr>
          <w:b/>
          <w:color w:val="FF0000"/>
        </w:rPr>
        <w:t>NB:</w:t>
      </w:r>
      <w:r w:rsidR="00A32DE7" w:rsidRPr="00E116A9">
        <w:rPr>
          <w:b/>
          <w:color w:val="FF0000"/>
        </w:rPr>
        <w:t xml:space="preserve"> </w:t>
      </w:r>
      <w:r w:rsidR="00235B5A" w:rsidRPr="00E116A9">
        <w:rPr>
          <w:b/>
          <w:color w:val="FF0000"/>
        </w:rPr>
        <w:t>The client must provide consent for any request for further service delivery.</w:t>
      </w:r>
    </w:p>
    <w:p w:rsidR="00E116A9" w:rsidRPr="00E116A9" w:rsidRDefault="00E116A9" w:rsidP="00E116A9">
      <w:pPr>
        <w:pStyle w:val="ListParagraph"/>
        <w:numPr>
          <w:ilvl w:val="0"/>
          <w:numId w:val="2"/>
        </w:numPr>
        <w:rPr>
          <w:color w:val="FF0000"/>
          <w:lang w:val="en-AU"/>
        </w:rPr>
      </w:pPr>
      <w:r w:rsidRPr="00E116A9">
        <w:rPr>
          <w:color w:val="FF0000"/>
          <w:lang w:val="en-AU"/>
        </w:rPr>
        <w:lastRenderedPageBreak/>
        <w:t>No other information regarding contact with the client(s) will be provided to any 3</w:t>
      </w:r>
      <w:r w:rsidRPr="00E116A9">
        <w:rPr>
          <w:color w:val="FF0000"/>
          <w:vertAlign w:val="superscript"/>
          <w:lang w:val="en-AU"/>
        </w:rPr>
        <w:t>rd</w:t>
      </w:r>
      <w:r w:rsidRPr="00E116A9">
        <w:rPr>
          <w:color w:val="FF0000"/>
          <w:lang w:val="en-AU"/>
        </w:rPr>
        <w:t xml:space="preserve"> party unless full consent is provided by the client(s) and with knowle</w:t>
      </w:r>
      <w:r w:rsidRPr="00E116A9">
        <w:rPr>
          <w:color w:val="FF0000"/>
          <w:lang w:val="en-AU"/>
        </w:rPr>
        <w:t>dge of the relevant Operations M</w:t>
      </w:r>
      <w:r w:rsidRPr="00E116A9">
        <w:rPr>
          <w:color w:val="FF0000"/>
          <w:lang w:val="en-AU"/>
        </w:rPr>
        <w:t>anager or PPS.</w:t>
      </w:r>
    </w:p>
    <w:p w:rsidR="00E116A9" w:rsidRPr="00E116A9" w:rsidRDefault="00E116A9" w:rsidP="00E116A9">
      <w:pPr>
        <w:pStyle w:val="ListParagraph"/>
        <w:numPr>
          <w:ilvl w:val="0"/>
          <w:numId w:val="2"/>
        </w:numPr>
        <w:rPr>
          <w:color w:val="FF0000"/>
          <w:lang w:val="en-AU"/>
        </w:rPr>
      </w:pPr>
      <w:r w:rsidRPr="00E116A9">
        <w:rPr>
          <w:color w:val="FF0000"/>
          <w:lang w:val="en-AU"/>
        </w:rPr>
        <w:t>Clients may request a copy of their notes as per usual CVI process.</w:t>
      </w:r>
    </w:p>
    <w:p w:rsidR="009F3ABF" w:rsidRPr="00E116A9" w:rsidRDefault="009F3ABF" w:rsidP="00E116A9">
      <w:pPr>
        <w:pStyle w:val="ListParagraph"/>
        <w:rPr>
          <w:color w:val="FF0000"/>
        </w:rPr>
      </w:pPr>
    </w:p>
    <w:p w:rsidR="000A484F" w:rsidRPr="000A484F" w:rsidRDefault="000A484F" w:rsidP="000A484F">
      <w:pPr>
        <w:rPr>
          <w:rFonts w:cstheme="minorHAnsi"/>
          <w:b/>
          <w:color w:val="1D9AD6"/>
          <w:sz w:val="24"/>
          <w:szCs w:val="32"/>
          <w:lang w:val="en-AU"/>
        </w:rPr>
      </w:pPr>
      <w:r>
        <w:rPr>
          <w:rFonts w:cstheme="minorHAnsi"/>
          <w:b/>
          <w:color w:val="1D9AD6"/>
          <w:sz w:val="24"/>
          <w:szCs w:val="32"/>
          <w:lang w:val="en-AU"/>
        </w:rPr>
        <w:t>SUITABLE PROFESSIONALS</w:t>
      </w:r>
    </w:p>
    <w:p w:rsidR="000A484F" w:rsidRDefault="000A484F" w:rsidP="000A484F">
      <w:pPr>
        <w:pStyle w:val="ListParagraph"/>
        <w:numPr>
          <w:ilvl w:val="0"/>
          <w:numId w:val="13"/>
        </w:numPr>
        <w:spacing w:after="160" w:line="259" w:lineRule="auto"/>
        <w:contextualSpacing/>
        <w:rPr>
          <w:lang w:val="en-AU"/>
        </w:rPr>
      </w:pPr>
      <w:r w:rsidRPr="00176782">
        <w:rPr>
          <w:lang w:val="en-AU"/>
        </w:rPr>
        <w:t xml:space="preserve">Operation </w:t>
      </w:r>
      <w:r>
        <w:rPr>
          <w:lang w:val="en-AU"/>
        </w:rPr>
        <w:t>M</w:t>
      </w:r>
      <w:r w:rsidRPr="00176782">
        <w:rPr>
          <w:lang w:val="en-AU"/>
        </w:rPr>
        <w:t>anagers to allocate</w:t>
      </w:r>
      <w:r>
        <w:rPr>
          <w:lang w:val="en-AU"/>
        </w:rPr>
        <w:t xml:space="preserve"> based on Consultant suitability and location requirements</w:t>
      </w:r>
    </w:p>
    <w:p w:rsidR="000A484F" w:rsidRDefault="000A484F" w:rsidP="000A484F">
      <w:pPr>
        <w:pStyle w:val="ListParagraph"/>
        <w:numPr>
          <w:ilvl w:val="0"/>
          <w:numId w:val="13"/>
        </w:numPr>
        <w:spacing w:after="160" w:line="259" w:lineRule="auto"/>
        <w:contextualSpacing/>
        <w:rPr>
          <w:lang w:val="en-AU"/>
        </w:rPr>
      </w:pPr>
      <w:r>
        <w:rPr>
          <w:lang w:val="en-AU"/>
        </w:rPr>
        <w:t>Where there is a pre-existing relationship with a Consultant and Consultant is assessed as having necessary skill level, “continuity of care” will be taken into consideration alongside other CVI allocation policies and processes.</w:t>
      </w:r>
    </w:p>
    <w:p w:rsidR="000A484F" w:rsidRDefault="000A484F" w:rsidP="000A484F">
      <w:pPr>
        <w:jc w:val="both"/>
        <w:rPr>
          <w:rFonts w:cstheme="minorHAnsi"/>
          <w:b/>
          <w:color w:val="1D9AD6"/>
          <w:sz w:val="24"/>
          <w:szCs w:val="32"/>
        </w:rPr>
      </w:pPr>
    </w:p>
    <w:p w:rsidR="000A484F" w:rsidRPr="000A484F" w:rsidRDefault="000A484F" w:rsidP="000A484F">
      <w:pPr>
        <w:jc w:val="both"/>
        <w:rPr>
          <w:rFonts w:cstheme="minorHAnsi"/>
          <w:b/>
          <w:color w:val="1D9AD6"/>
          <w:sz w:val="24"/>
          <w:szCs w:val="32"/>
        </w:rPr>
      </w:pPr>
      <w:r w:rsidRPr="000A484F">
        <w:rPr>
          <w:rFonts w:cstheme="minorHAnsi"/>
          <w:b/>
          <w:color w:val="1D9AD6"/>
          <w:sz w:val="24"/>
          <w:szCs w:val="32"/>
        </w:rPr>
        <w:t>RESPONSE AND SERVICE DELIVERY TIMEFRAMES</w:t>
      </w:r>
    </w:p>
    <w:p w:rsidR="000A484F" w:rsidRPr="000A484F" w:rsidRDefault="000A484F" w:rsidP="000A484F">
      <w:pPr>
        <w:pStyle w:val="ListParagraph"/>
        <w:numPr>
          <w:ilvl w:val="0"/>
          <w:numId w:val="14"/>
        </w:numPr>
        <w:spacing w:after="160" w:line="259" w:lineRule="auto"/>
        <w:contextualSpacing/>
        <w:jc w:val="both"/>
        <w:rPr>
          <w:rFonts w:cstheme="minorHAnsi"/>
          <w:highlight w:val="yellow"/>
        </w:rPr>
      </w:pPr>
      <w:r w:rsidRPr="000A484F">
        <w:rPr>
          <w:rFonts w:cstheme="minorHAnsi"/>
          <w:highlight w:val="yellow"/>
        </w:rPr>
        <w:t>Introductory email or phone briefing: 15 to 30 mins</w:t>
      </w:r>
    </w:p>
    <w:p w:rsidR="000A484F" w:rsidRPr="000A484F" w:rsidRDefault="000A484F" w:rsidP="000A484F">
      <w:pPr>
        <w:pStyle w:val="ListParagraph"/>
        <w:ind w:left="360"/>
        <w:jc w:val="both"/>
        <w:rPr>
          <w:rFonts w:cstheme="minorHAnsi"/>
          <w:sz w:val="8"/>
          <w:highlight w:val="yellow"/>
        </w:rPr>
      </w:pPr>
    </w:p>
    <w:p w:rsidR="000A484F" w:rsidRPr="000A484F" w:rsidRDefault="000A484F" w:rsidP="000A484F">
      <w:pPr>
        <w:pStyle w:val="ListParagraph"/>
        <w:numPr>
          <w:ilvl w:val="0"/>
          <w:numId w:val="14"/>
        </w:numPr>
        <w:spacing w:after="160" w:line="259" w:lineRule="auto"/>
        <w:contextualSpacing/>
        <w:jc w:val="both"/>
        <w:rPr>
          <w:rFonts w:cstheme="minorHAnsi"/>
          <w:highlight w:val="yellow"/>
        </w:rPr>
      </w:pPr>
      <w:r w:rsidRPr="000A484F">
        <w:rPr>
          <w:rFonts w:cstheme="minorHAnsi"/>
          <w:highlight w:val="yellow"/>
        </w:rPr>
        <w:t>Face to face briefing: 60 minutes plus travel where incurred</w:t>
      </w:r>
    </w:p>
    <w:p w:rsidR="000A484F" w:rsidRPr="000A484F" w:rsidRDefault="000A484F" w:rsidP="000A484F">
      <w:pPr>
        <w:pStyle w:val="ListParagraph"/>
        <w:jc w:val="both"/>
        <w:rPr>
          <w:rFonts w:cstheme="minorHAnsi"/>
          <w:sz w:val="8"/>
          <w:highlight w:val="yellow"/>
        </w:rPr>
      </w:pPr>
    </w:p>
    <w:p w:rsidR="000A484F" w:rsidRPr="000A484F" w:rsidRDefault="000A484F" w:rsidP="000A484F">
      <w:pPr>
        <w:pStyle w:val="ListParagraph"/>
        <w:numPr>
          <w:ilvl w:val="0"/>
          <w:numId w:val="14"/>
        </w:numPr>
        <w:spacing w:after="160" w:line="259" w:lineRule="auto"/>
        <w:contextualSpacing/>
        <w:jc w:val="both"/>
        <w:rPr>
          <w:rFonts w:cstheme="minorHAnsi"/>
          <w:highlight w:val="yellow"/>
        </w:rPr>
      </w:pPr>
      <w:r w:rsidRPr="000A484F">
        <w:rPr>
          <w:rFonts w:cstheme="minorHAnsi"/>
          <w:highlight w:val="yellow"/>
        </w:rPr>
        <w:t xml:space="preserve">Face to face or web-based video sessions: 60 </w:t>
      </w:r>
      <w:proofErr w:type="gramStart"/>
      <w:r w:rsidRPr="000A484F">
        <w:rPr>
          <w:rFonts w:cstheme="minorHAnsi"/>
          <w:highlight w:val="yellow"/>
        </w:rPr>
        <w:t>minutes</w:t>
      </w:r>
      <w:proofErr w:type="gramEnd"/>
      <w:r w:rsidRPr="000A484F">
        <w:rPr>
          <w:rFonts w:cstheme="minorHAnsi"/>
          <w:highlight w:val="yellow"/>
        </w:rPr>
        <w:t xml:space="preserve"> x session limit (sessions generally scheduled 1-2 weeks apart)</w:t>
      </w:r>
    </w:p>
    <w:p w:rsidR="000A484F" w:rsidRPr="000A484F" w:rsidRDefault="000A484F" w:rsidP="000A484F">
      <w:pPr>
        <w:pStyle w:val="ListParagraph"/>
        <w:jc w:val="both"/>
        <w:rPr>
          <w:rFonts w:cstheme="minorHAnsi"/>
          <w:sz w:val="8"/>
          <w:highlight w:val="yellow"/>
        </w:rPr>
      </w:pPr>
    </w:p>
    <w:p w:rsidR="000A484F" w:rsidRPr="000A484F" w:rsidRDefault="000A484F" w:rsidP="000A484F">
      <w:pPr>
        <w:pStyle w:val="ListParagraph"/>
        <w:numPr>
          <w:ilvl w:val="0"/>
          <w:numId w:val="14"/>
        </w:numPr>
        <w:spacing w:after="160" w:line="259" w:lineRule="auto"/>
        <w:contextualSpacing/>
        <w:jc w:val="both"/>
        <w:rPr>
          <w:rFonts w:cstheme="minorHAnsi"/>
          <w:highlight w:val="yellow"/>
        </w:rPr>
      </w:pPr>
      <w:r w:rsidRPr="000A484F">
        <w:rPr>
          <w:rFonts w:cstheme="minorHAnsi"/>
          <w:highlight w:val="yellow"/>
        </w:rPr>
        <w:t xml:space="preserve">Final report: Written report 90 minutes – </w:t>
      </w:r>
    </w:p>
    <w:p w:rsidR="000A484F" w:rsidRPr="000A484F" w:rsidRDefault="000A484F" w:rsidP="000A484F">
      <w:pPr>
        <w:pStyle w:val="ListParagraph"/>
        <w:numPr>
          <w:ilvl w:val="1"/>
          <w:numId w:val="14"/>
        </w:numPr>
        <w:spacing w:after="160" w:line="259" w:lineRule="auto"/>
        <w:contextualSpacing/>
        <w:jc w:val="both"/>
        <w:rPr>
          <w:rFonts w:cstheme="minorHAnsi"/>
          <w:highlight w:val="yellow"/>
        </w:rPr>
      </w:pPr>
      <w:r w:rsidRPr="000A484F">
        <w:rPr>
          <w:rFonts w:cstheme="minorHAnsi"/>
          <w:highlight w:val="yellow"/>
        </w:rPr>
        <w:t>Restate goals</w:t>
      </w:r>
    </w:p>
    <w:p w:rsidR="000A484F" w:rsidRPr="000A484F" w:rsidRDefault="000A484F" w:rsidP="000A484F">
      <w:pPr>
        <w:pStyle w:val="ListParagraph"/>
        <w:numPr>
          <w:ilvl w:val="1"/>
          <w:numId w:val="14"/>
        </w:numPr>
        <w:spacing w:after="160" w:line="259" w:lineRule="auto"/>
        <w:contextualSpacing/>
        <w:jc w:val="both"/>
        <w:rPr>
          <w:rFonts w:cstheme="minorHAnsi"/>
          <w:highlight w:val="yellow"/>
        </w:rPr>
      </w:pPr>
      <w:r w:rsidRPr="000A484F">
        <w:rPr>
          <w:rFonts w:cstheme="minorHAnsi"/>
          <w:highlight w:val="yellow"/>
        </w:rPr>
        <w:t>Intervention provided</w:t>
      </w:r>
    </w:p>
    <w:p w:rsidR="000A484F" w:rsidRPr="000A484F" w:rsidRDefault="000A484F" w:rsidP="000A484F">
      <w:pPr>
        <w:pStyle w:val="ListParagraph"/>
        <w:numPr>
          <w:ilvl w:val="1"/>
          <w:numId w:val="14"/>
        </w:numPr>
        <w:spacing w:after="160" w:line="259" w:lineRule="auto"/>
        <w:contextualSpacing/>
        <w:jc w:val="both"/>
        <w:rPr>
          <w:rFonts w:cstheme="minorHAnsi"/>
          <w:highlight w:val="yellow"/>
        </w:rPr>
      </w:pPr>
      <w:r w:rsidRPr="000A484F">
        <w:rPr>
          <w:rFonts w:cstheme="minorHAnsi"/>
          <w:highlight w:val="yellow"/>
        </w:rPr>
        <w:t>Summary of outcomes including compliance, progress and any recommendations eg referral to specialist services, organisational support, etc</w:t>
      </w:r>
    </w:p>
    <w:p w:rsidR="000A484F" w:rsidRPr="000A484F" w:rsidRDefault="000A484F" w:rsidP="000A484F">
      <w:pPr>
        <w:pStyle w:val="ListParagraph"/>
        <w:ind w:left="1080"/>
        <w:jc w:val="both"/>
        <w:rPr>
          <w:rFonts w:cstheme="minorHAnsi"/>
          <w:sz w:val="8"/>
          <w:highlight w:val="yellow"/>
        </w:rPr>
      </w:pPr>
    </w:p>
    <w:p w:rsidR="000A484F" w:rsidRPr="000A484F" w:rsidRDefault="000A484F" w:rsidP="000A484F">
      <w:pPr>
        <w:pStyle w:val="ListParagraph"/>
        <w:numPr>
          <w:ilvl w:val="0"/>
          <w:numId w:val="14"/>
        </w:numPr>
        <w:spacing w:after="160" w:line="259" w:lineRule="auto"/>
        <w:contextualSpacing/>
        <w:jc w:val="both"/>
        <w:rPr>
          <w:rFonts w:cstheme="minorHAnsi"/>
          <w:highlight w:val="yellow"/>
        </w:rPr>
      </w:pPr>
      <w:r w:rsidRPr="000A484F">
        <w:rPr>
          <w:rFonts w:cstheme="minorHAnsi"/>
          <w:highlight w:val="yellow"/>
        </w:rPr>
        <w:t>Letter of attendance: 15 minutes</w:t>
      </w:r>
    </w:p>
    <w:p w:rsidR="000A484F" w:rsidRPr="000A484F" w:rsidRDefault="000A484F" w:rsidP="000A484F">
      <w:pPr>
        <w:pStyle w:val="ListParagraph"/>
        <w:ind w:left="360"/>
        <w:jc w:val="both"/>
        <w:rPr>
          <w:rFonts w:cstheme="minorHAnsi"/>
          <w:sz w:val="8"/>
          <w:highlight w:val="yellow"/>
        </w:rPr>
      </w:pPr>
    </w:p>
    <w:p w:rsidR="000A484F" w:rsidRPr="000A484F" w:rsidRDefault="000A484F" w:rsidP="000A484F">
      <w:pPr>
        <w:pStyle w:val="ListParagraph"/>
        <w:numPr>
          <w:ilvl w:val="0"/>
          <w:numId w:val="14"/>
        </w:numPr>
        <w:spacing w:after="160" w:line="259" w:lineRule="auto"/>
        <w:contextualSpacing/>
        <w:jc w:val="both"/>
        <w:rPr>
          <w:rFonts w:cstheme="minorHAnsi"/>
          <w:highlight w:val="yellow"/>
        </w:rPr>
      </w:pPr>
      <w:r w:rsidRPr="000A484F">
        <w:rPr>
          <w:rFonts w:cstheme="minorHAnsi"/>
          <w:highlight w:val="yellow"/>
        </w:rPr>
        <w:t>Verbal report 30-60 minutes (note written report categories above)</w:t>
      </w:r>
    </w:p>
    <w:p w:rsidR="009F3ABF" w:rsidRPr="00E116A9" w:rsidRDefault="009F3ABF" w:rsidP="009F3ABF">
      <w:pPr>
        <w:rPr>
          <w:color w:val="FF0000"/>
        </w:rPr>
      </w:pPr>
    </w:p>
    <w:p w:rsidR="009F3ABF" w:rsidRPr="000A484F" w:rsidRDefault="000A484F" w:rsidP="00E116A9">
      <w:pPr>
        <w:rPr>
          <w:rFonts w:cstheme="minorHAnsi"/>
          <w:b/>
          <w:color w:val="1D9AD6"/>
          <w:sz w:val="24"/>
          <w:szCs w:val="32"/>
          <w:lang w:val="en-AU"/>
        </w:rPr>
      </w:pPr>
      <w:r>
        <w:rPr>
          <w:rFonts w:cstheme="minorHAnsi"/>
          <w:b/>
          <w:color w:val="1D9AD6"/>
          <w:sz w:val="24"/>
          <w:szCs w:val="32"/>
          <w:lang w:val="en-AU"/>
        </w:rPr>
        <w:t>INFORMED CONSENT</w:t>
      </w:r>
    </w:p>
    <w:p w:rsidR="009F3ABF" w:rsidRPr="00E116A9" w:rsidRDefault="00235B5A" w:rsidP="009F3ABF">
      <w:pPr>
        <w:rPr>
          <w:color w:val="FF0000"/>
        </w:rPr>
      </w:pPr>
      <w:r w:rsidRPr="00E116A9">
        <w:rPr>
          <w:color w:val="FF0000"/>
        </w:rPr>
        <w:t>In addition to the usual information provided to clients, i</w:t>
      </w:r>
      <w:r w:rsidR="009F3ABF" w:rsidRPr="00E116A9">
        <w:rPr>
          <w:color w:val="FF0000"/>
        </w:rPr>
        <w:t>t is the responsibility of the Consult to ensure that the client is aware of:</w:t>
      </w:r>
    </w:p>
    <w:p w:rsidR="009F3ABF" w:rsidRPr="00E116A9" w:rsidRDefault="00235B5A" w:rsidP="009F3ABF">
      <w:pPr>
        <w:pStyle w:val="ListParagraph"/>
        <w:numPr>
          <w:ilvl w:val="0"/>
          <w:numId w:val="4"/>
        </w:numPr>
        <w:rPr>
          <w:color w:val="FF0000"/>
        </w:rPr>
      </w:pPr>
      <w:r w:rsidRPr="00E116A9">
        <w:rPr>
          <w:color w:val="FF0000"/>
        </w:rPr>
        <w:t>Specific S</w:t>
      </w:r>
      <w:r w:rsidR="009F3ABF" w:rsidRPr="00E116A9">
        <w:rPr>
          <w:color w:val="FF0000"/>
        </w:rPr>
        <w:t>ervice parameters</w:t>
      </w:r>
    </w:p>
    <w:p w:rsidR="009F3ABF" w:rsidRPr="00E116A9" w:rsidRDefault="009F3ABF" w:rsidP="009F3ABF">
      <w:pPr>
        <w:pStyle w:val="ListParagraph"/>
        <w:numPr>
          <w:ilvl w:val="0"/>
          <w:numId w:val="4"/>
        </w:numPr>
        <w:rPr>
          <w:color w:val="FF0000"/>
        </w:rPr>
      </w:pPr>
      <w:r w:rsidRPr="00E116A9">
        <w:rPr>
          <w:color w:val="FF0000"/>
        </w:rPr>
        <w:t>All limits to privacy/confidentiality. Consultants to note on file client’s consent for information to be released to Referring Manager should further sessions be sought.</w:t>
      </w:r>
    </w:p>
    <w:p w:rsidR="009F3ABF" w:rsidRPr="00E116A9" w:rsidRDefault="009F3ABF" w:rsidP="009F3ABF">
      <w:pPr>
        <w:pStyle w:val="ListParagraph"/>
        <w:numPr>
          <w:ilvl w:val="0"/>
          <w:numId w:val="4"/>
        </w:numPr>
        <w:rPr>
          <w:color w:val="FF0000"/>
        </w:rPr>
      </w:pPr>
      <w:r w:rsidRPr="00E116A9">
        <w:rPr>
          <w:color w:val="FF0000"/>
        </w:rPr>
        <w:t>Inclusion</w:t>
      </w:r>
      <w:r w:rsidR="00E317B8" w:rsidRPr="00E116A9">
        <w:rPr>
          <w:color w:val="FF0000"/>
        </w:rPr>
        <w:t xml:space="preserve"> in authorised sessions </w:t>
      </w:r>
      <w:r w:rsidRPr="00E116A9">
        <w:rPr>
          <w:color w:val="FF0000"/>
        </w:rPr>
        <w:t xml:space="preserve">of </w:t>
      </w:r>
      <w:r w:rsidR="00E317B8" w:rsidRPr="00E116A9">
        <w:rPr>
          <w:color w:val="FF0000"/>
        </w:rPr>
        <w:t xml:space="preserve">time spent by the Consultant in those briefing/liaison/ review </w:t>
      </w:r>
      <w:r w:rsidRPr="00E116A9">
        <w:rPr>
          <w:color w:val="FF0000"/>
        </w:rPr>
        <w:t xml:space="preserve"> </w:t>
      </w:r>
      <w:r w:rsidR="00E317B8" w:rsidRPr="00E116A9">
        <w:rPr>
          <w:color w:val="FF0000"/>
        </w:rPr>
        <w:t>tasks deemed to be in the best interest of the client AND approved by CVI.</w:t>
      </w:r>
    </w:p>
    <w:p w:rsidR="00235B5A" w:rsidRDefault="00235B5A" w:rsidP="009F3ABF">
      <w:pPr>
        <w:pStyle w:val="ListParagraph"/>
        <w:numPr>
          <w:ilvl w:val="0"/>
          <w:numId w:val="4"/>
        </w:numPr>
      </w:pPr>
      <w:r w:rsidRPr="00E116A9">
        <w:rPr>
          <w:color w:val="FF0000"/>
        </w:rPr>
        <w:t>Further service cycles beyond initial allocation cannot be guaranteed.</w:t>
      </w:r>
    </w:p>
    <w:p w:rsidR="00A32DE7" w:rsidRDefault="00A32DE7" w:rsidP="00A32DE7"/>
    <w:p w:rsidR="00A32DE7" w:rsidRPr="00A32DE7" w:rsidRDefault="00A32DE7" w:rsidP="00A32DE7">
      <w:pPr>
        <w:rPr>
          <w:b/>
          <w:sz w:val="24"/>
          <w:szCs w:val="24"/>
        </w:rPr>
      </w:pPr>
      <w:r w:rsidRPr="00A32DE7">
        <w:rPr>
          <w:b/>
          <w:sz w:val="24"/>
          <w:szCs w:val="24"/>
        </w:rPr>
        <w:t>Please note it is the responsibility of the Consultant to facilitate a time for review with the relevant Operations Manager</w:t>
      </w:r>
      <w:r w:rsidR="00E116A9">
        <w:rPr>
          <w:b/>
          <w:sz w:val="24"/>
          <w:szCs w:val="24"/>
        </w:rPr>
        <w:t xml:space="preserve"> or PPS</w:t>
      </w:r>
      <w:r w:rsidRPr="00A32DE7">
        <w:rPr>
          <w:b/>
          <w:sz w:val="24"/>
          <w:szCs w:val="24"/>
        </w:rPr>
        <w:t xml:space="preserve"> via </w:t>
      </w:r>
      <w:r w:rsidR="00E116A9">
        <w:rPr>
          <w:b/>
          <w:sz w:val="24"/>
          <w:szCs w:val="24"/>
        </w:rPr>
        <w:t xml:space="preserve">Consulting Administrator or </w:t>
      </w:r>
      <w:r w:rsidR="00E116A9" w:rsidRPr="00A32DE7">
        <w:rPr>
          <w:b/>
          <w:sz w:val="24"/>
          <w:szCs w:val="24"/>
        </w:rPr>
        <w:t>Client Services</w:t>
      </w:r>
      <w:r w:rsidRPr="00A32DE7">
        <w:rPr>
          <w:b/>
          <w:sz w:val="24"/>
          <w:szCs w:val="24"/>
        </w:rPr>
        <w:t>.</w:t>
      </w:r>
    </w:p>
    <w:p w:rsidR="00235B5A" w:rsidRDefault="00235B5A" w:rsidP="00235B5A">
      <w:pPr>
        <w:pStyle w:val="ListParagraph"/>
      </w:pPr>
    </w:p>
    <w:p w:rsidR="0012373C" w:rsidRPr="000A484F" w:rsidRDefault="000A484F" w:rsidP="0012373C">
      <w:pPr>
        <w:rPr>
          <w:rFonts w:cstheme="minorHAnsi"/>
          <w:b/>
          <w:color w:val="1D9AD6"/>
          <w:sz w:val="24"/>
          <w:szCs w:val="32"/>
          <w:lang w:val="en-AU"/>
        </w:rPr>
      </w:pPr>
      <w:r>
        <w:rPr>
          <w:rFonts w:cstheme="minorHAnsi"/>
          <w:b/>
          <w:color w:val="1D9AD6"/>
          <w:sz w:val="24"/>
          <w:szCs w:val="32"/>
          <w:lang w:val="en-AU"/>
        </w:rPr>
        <w:t>REFERRAL PROCESS</w:t>
      </w:r>
    </w:p>
    <w:p w:rsidR="0012373C" w:rsidRDefault="0012373C" w:rsidP="0012373C">
      <w:pPr>
        <w:rPr>
          <w:lang w:val="en-AU"/>
        </w:rPr>
      </w:pPr>
      <w:r>
        <w:rPr>
          <w:lang w:val="en-AU"/>
        </w:rPr>
        <w:t>Referral pathways for the “Extended Employee Assist Service” include:</w:t>
      </w:r>
    </w:p>
    <w:p w:rsidR="0012373C" w:rsidRPr="0012373C" w:rsidRDefault="0012373C" w:rsidP="0012373C">
      <w:pPr>
        <w:pStyle w:val="ListParagraph"/>
        <w:numPr>
          <w:ilvl w:val="0"/>
          <w:numId w:val="12"/>
        </w:numPr>
        <w:spacing w:after="160" w:line="259" w:lineRule="auto"/>
        <w:contextualSpacing/>
        <w:rPr>
          <w:b/>
          <w:lang w:val="en-AU"/>
        </w:rPr>
      </w:pPr>
      <w:r w:rsidRPr="0012373C">
        <w:rPr>
          <w:lang w:val="en-AU"/>
        </w:rPr>
        <w:lastRenderedPageBreak/>
        <w:t xml:space="preserve">Direct referral from employer with encouraged, voluntary access by employee/family members. Referral must be done with the </w:t>
      </w:r>
      <w:r w:rsidRPr="0012373C">
        <w:rPr>
          <w:lang w:val="en-AU"/>
        </w:rPr>
        <w:t>client’s</w:t>
      </w:r>
      <w:r w:rsidRPr="0012373C">
        <w:rPr>
          <w:lang w:val="en-AU"/>
        </w:rPr>
        <w:t xml:space="preserve"> consent. </w:t>
      </w:r>
    </w:p>
    <w:p w:rsidR="000A484F" w:rsidRPr="000A484F" w:rsidRDefault="0012373C" w:rsidP="000A484F">
      <w:pPr>
        <w:pStyle w:val="ListParagraph"/>
        <w:numPr>
          <w:ilvl w:val="0"/>
          <w:numId w:val="12"/>
        </w:numPr>
        <w:spacing w:after="160" w:line="259" w:lineRule="auto"/>
        <w:contextualSpacing/>
        <w:rPr>
          <w:lang w:val="en-AU"/>
        </w:rPr>
      </w:pPr>
      <w:r w:rsidRPr="0012373C">
        <w:rPr>
          <w:lang w:val="en-AU"/>
        </w:rPr>
        <w:t xml:space="preserve">CVI recommendation to client organisation via CRM where the extra session review process indicates that the client and client organisation may be better served by the “Extended </w:t>
      </w:r>
      <w:r w:rsidRPr="000A484F">
        <w:rPr>
          <w:lang w:val="en-AU"/>
        </w:rPr>
        <w:t>Service”. NB: This discussion will only occur with the consent of the client(s).</w:t>
      </w:r>
    </w:p>
    <w:p w:rsidR="0012373C" w:rsidRDefault="0012373C" w:rsidP="000A484F">
      <w:pPr>
        <w:pStyle w:val="ListParagraph"/>
        <w:numPr>
          <w:ilvl w:val="0"/>
          <w:numId w:val="12"/>
        </w:numPr>
        <w:spacing w:after="160" w:line="259" w:lineRule="auto"/>
        <w:contextualSpacing/>
        <w:rPr>
          <w:lang w:val="en-AU"/>
        </w:rPr>
      </w:pPr>
      <w:r w:rsidRPr="000A484F">
        <w:rPr>
          <w:lang w:val="en-AU"/>
        </w:rPr>
        <w:t>Where a client(s) is referred by the Employer, CVI reserves the right to review appropriateness of referral at initial session and to make recommendations for an alternative service or external “specialist” referral if deemed necessary under ethical and/or best practice guidelines.</w:t>
      </w:r>
    </w:p>
    <w:p w:rsidR="000A484F" w:rsidRDefault="000A484F" w:rsidP="000A484F">
      <w:pPr>
        <w:contextualSpacing/>
        <w:rPr>
          <w:lang w:val="en-AU"/>
        </w:rPr>
      </w:pPr>
    </w:p>
    <w:p w:rsidR="000A484F" w:rsidRPr="000A484F" w:rsidRDefault="000A484F" w:rsidP="000A484F">
      <w:pPr>
        <w:contextualSpacing/>
        <w:rPr>
          <w:lang w:val="en-AU"/>
        </w:rPr>
      </w:pPr>
    </w:p>
    <w:p w:rsidR="009F3ABF" w:rsidRDefault="009F3ABF" w:rsidP="009F3ABF"/>
    <w:p w:rsidR="009F3ABF" w:rsidRDefault="009F3ABF" w:rsidP="009F3ABF"/>
    <w:p w:rsidR="009F3ABF" w:rsidRPr="00426EAF" w:rsidRDefault="009F3ABF">
      <w:pPr>
        <w:rPr>
          <w:lang w:val="en-AU"/>
        </w:rPr>
      </w:pPr>
    </w:p>
    <w:sectPr w:rsidR="009F3ABF" w:rsidRPr="00426E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B89" w:rsidRDefault="004A6B89" w:rsidP="004A6B89">
      <w:pPr>
        <w:spacing w:after="0" w:line="240" w:lineRule="auto"/>
      </w:pPr>
      <w:r>
        <w:separator/>
      </w:r>
    </w:p>
  </w:endnote>
  <w:endnote w:type="continuationSeparator" w:id="0">
    <w:p w:rsidR="004A6B89" w:rsidRDefault="004A6B89" w:rsidP="004A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B89" w:rsidRDefault="004A6B89" w:rsidP="004A6B89">
      <w:pPr>
        <w:spacing w:after="0" w:line="240" w:lineRule="auto"/>
      </w:pPr>
      <w:r>
        <w:separator/>
      </w:r>
    </w:p>
  </w:footnote>
  <w:footnote w:type="continuationSeparator" w:id="0">
    <w:p w:rsidR="004A6B89" w:rsidRDefault="004A6B89" w:rsidP="004A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B89" w:rsidRPr="004A6B89" w:rsidRDefault="004A6B89">
    <w:pPr>
      <w:pStyle w:val="Header"/>
      <w:rPr>
        <w:lang w:val="en-US"/>
      </w:rPr>
    </w:pPr>
    <w:r>
      <w:rPr>
        <w:lang w:val="en-US"/>
      </w:rPr>
      <w:t>Better 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23C9"/>
    <w:multiLevelType w:val="hybridMultilevel"/>
    <w:tmpl w:val="0B46BCC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0E980968"/>
    <w:multiLevelType w:val="hybridMultilevel"/>
    <w:tmpl w:val="7012E14E"/>
    <w:lvl w:ilvl="0" w:tplc="0C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24D5"/>
    <w:multiLevelType w:val="hybridMultilevel"/>
    <w:tmpl w:val="7026F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37538E"/>
    <w:multiLevelType w:val="hybridMultilevel"/>
    <w:tmpl w:val="893A1012"/>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2F367B"/>
    <w:multiLevelType w:val="hybridMultilevel"/>
    <w:tmpl w:val="8BBAFABC"/>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3A5F16"/>
    <w:multiLevelType w:val="hybridMultilevel"/>
    <w:tmpl w:val="18FCE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D74D3E"/>
    <w:multiLevelType w:val="hybridMultilevel"/>
    <w:tmpl w:val="74C4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2646A"/>
    <w:multiLevelType w:val="hybridMultilevel"/>
    <w:tmpl w:val="62CCB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8E7E15"/>
    <w:multiLevelType w:val="hybridMultilevel"/>
    <w:tmpl w:val="653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B2AFC"/>
    <w:multiLevelType w:val="hybridMultilevel"/>
    <w:tmpl w:val="E4005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896390"/>
    <w:multiLevelType w:val="hybridMultilevel"/>
    <w:tmpl w:val="4E300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680D76"/>
    <w:multiLevelType w:val="hybridMultilevel"/>
    <w:tmpl w:val="86B4450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0"/>
  </w:num>
  <w:num w:numId="6">
    <w:abstractNumId w:val="1"/>
  </w:num>
  <w:num w:numId="7">
    <w:abstractNumId w:val="6"/>
  </w:num>
  <w:num w:numId="8">
    <w:abstractNumId w:val="7"/>
  </w:num>
  <w:num w:numId="9">
    <w:abstractNumId w:val="11"/>
  </w:num>
  <w:num w:numId="10">
    <w:abstractNumId w:val="9"/>
  </w:num>
  <w:num w:numId="11">
    <w:abstractNumId w:val="10"/>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AF"/>
    <w:rsid w:val="000A484F"/>
    <w:rsid w:val="0012373C"/>
    <w:rsid w:val="001E754B"/>
    <w:rsid w:val="00235B5A"/>
    <w:rsid w:val="004128F1"/>
    <w:rsid w:val="00426EAF"/>
    <w:rsid w:val="00445F42"/>
    <w:rsid w:val="00446AFD"/>
    <w:rsid w:val="00475CE5"/>
    <w:rsid w:val="00481753"/>
    <w:rsid w:val="004A6B89"/>
    <w:rsid w:val="004C04B2"/>
    <w:rsid w:val="0053374A"/>
    <w:rsid w:val="00570BF5"/>
    <w:rsid w:val="0060287F"/>
    <w:rsid w:val="006A6832"/>
    <w:rsid w:val="008A1537"/>
    <w:rsid w:val="00981E52"/>
    <w:rsid w:val="009E5D90"/>
    <w:rsid w:val="009F3ABF"/>
    <w:rsid w:val="00A32DE7"/>
    <w:rsid w:val="00D436D4"/>
    <w:rsid w:val="00E116A9"/>
    <w:rsid w:val="00E317B8"/>
    <w:rsid w:val="00F52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C4F2"/>
  <w15:chartTrackingRefBased/>
  <w15:docId w15:val="{B11D259C-9EA2-474D-8603-AEA849C5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ABF"/>
    <w:pPr>
      <w:spacing w:after="0" w:line="240" w:lineRule="auto"/>
      <w:ind w:left="720"/>
    </w:pPr>
    <w:rPr>
      <w:rFonts w:ascii="Calibri" w:hAnsi="Calibri" w:cs="Calibri"/>
    </w:rPr>
  </w:style>
  <w:style w:type="paragraph" w:styleId="Header">
    <w:name w:val="header"/>
    <w:basedOn w:val="Normal"/>
    <w:link w:val="HeaderChar"/>
    <w:uiPriority w:val="99"/>
    <w:unhideWhenUsed/>
    <w:rsid w:val="004A6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B89"/>
  </w:style>
  <w:style w:type="paragraph" w:styleId="Footer">
    <w:name w:val="footer"/>
    <w:basedOn w:val="Normal"/>
    <w:link w:val="FooterChar"/>
    <w:uiPriority w:val="99"/>
    <w:unhideWhenUsed/>
    <w:rsid w:val="004A6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Aroha Hanley</dc:creator>
  <cp:keywords/>
  <dc:description/>
  <cp:lastModifiedBy>Abbey Sugden</cp:lastModifiedBy>
  <cp:revision>4</cp:revision>
  <dcterms:created xsi:type="dcterms:W3CDTF">2017-08-18T06:22:00Z</dcterms:created>
  <dcterms:modified xsi:type="dcterms:W3CDTF">2017-08-18T07:09:00Z</dcterms:modified>
</cp:coreProperties>
</file>